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19" w:lineRule="exact"/>
        <w:rPr>
          <w:sz w:val="24"/>
          <w:szCs w:val="24"/>
          <w:color w:val="auto"/>
        </w:rPr>
      </w:pPr>
    </w:p>
    <w:p>
      <w:pPr>
        <w:ind w:left="3880" w:right="2140" w:hanging="3873"/>
        <w:spacing w:after="0" w:line="477" w:lineRule="auto"/>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7" w:lineRule="exact"/>
        <w:rPr>
          <w:sz w:val="24"/>
          <w:szCs w:val="24"/>
          <w:color w:val="auto"/>
        </w:rPr>
      </w:pPr>
    </w:p>
    <w:p>
      <w:pPr>
        <w:ind w:left="340" w:right="1760" w:hanging="333"/>
        <w:spacing w:after="0" w:line="500"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000-06814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2061210</wp:posOffset>
            </wp:positionH>
            <wp:positionV relativeFrom="paragraph">
              <wp:posOffset>153035</wp:posOffset>
            </wp:positionV>
            <wp:extent cx="3020695" cy="981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0695" cy="981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U.S. ENERGY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Company as Specified in its Charter)</w:t>
      </w:r>
    </w:p>
    <w:p>
      <w:pPr>
        <w:spacing w:after="0" w:line="189"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gridSpan w:val="2"/>
          </w:tcPr>
          <w:p>
            <w:pPr>
              <w:spacing w:after="0"/>
              <w:rPr>
                <w:sz w:val="18"/>
                <w:szCs w:val="18"/>
                <w:color w:val="auto"/>
              </w:rPr>
            </w:pPr>
          </w:p>
        </w:tc>
        <w:tc>
          <w:tcPr>
            <w:tcW w:w="30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83-0205516</w:t>
            </w: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7"/>
        </w:trPr>
        <w:tc>
          <w:tcPr>
            <w:tcW w:w="5020" w:type="dxa"/>
            <w:vAlign w:val="bottom"/>
            <w:gridSpan w:val="4"/>
          </w:tcPr>
          <w:p>
            <w:pPr>
              <w:jc w:val="center"/>
              <w:ind w:right="170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040" w:type="dxa"/>
            <w:vAlign w:val="bottom"/>
            <w:gridSpan w:val="5"/>
          </w:tcPr>
          <w:p>
            <w:pPr>
              <w:jc w:val="center"/>
              <w:ind w:left="16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020" w:type="dxa"/>
            <w:vAlign w:val="bottom"/>
            <w:gridSpan w:val="4"/>
          </w:tcPr>
          <w:p>
            <w:pPr>
              <w:jc w:val="center"/>
              <w:ind w:right="1720"/>
              <w:spacing w:after="0"/>
              <w:rPr>
                <w:sz w:val="20"/>
                <w:szCs w:val="20"/>
                <w:color w:val="auto"/>
              </w:rPr>
            </w:pPr>
            <w:r>
              <w:rPr>
                <w:rFonts w:ascii="Times New Roman" w:cs="Times New Roman" w:eastAsia="Times New Roman" w:hAnsi="Times New Roman"/>
                <w:sz w:val="18"/>
                <w:szCs w:val="18"/>
                <w:color w:val="auto"/>
                <w:w w:val="98"/>
              </w:rPr>
              <w:t>of incorporation or organization)</w:t>
            </w:r>
          </w:p>
        </w:tc>
        <w:tc>
          <w:tcPr>
            <w:tcW w:w="3040" w:type="dxa"/>
            <w:vAlign w:val="bottom"/>
            <w:gridSpan w:val="5"/>
          </w:tcPr>
          <w:p>
            <w:pPr>
              <w:jc w:val="center"/>
              <w:ind w:left="16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9"/>
        </w:trPr>
        <w:tc>
          <w:tcPr>
            <w:tcW w:w="5020" w:type="dxa"/>
            <w:vAlign w:val="bottom"/>
            <w:gridSpan w:val="4"/>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1616 S. Voss Rd., Suite 725, Houston, Texas</w:t>
            </w:r>
          </w:p>
        </w:tc>
        <w:tc>
          <w:tcPr>
            <w:tcW w:w="2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77057</w:t>
            </w:r>
          </w:p>
        </w:tc>
        <w:tc>
          <w:tcPr>
            <w:tcW w:w="240" w:type="dxa"/>
            <w:vAlign w:val="bottom"/>
          </w:tcPr>
          <w:p>
            <w:pPr>
              <w:spacing w:after="0"/>
              <w:rPr>
                <w:sz w:val="24"/>
                <w:szCs w:val="24"/>
                <w:color w:val="auto"/>
              </w:rPr>
            </w:pPr>
          </w:p>
        </w:tc>
      </w:tr>
      <w:tr>
        <w:trPr>
          <w:trHeight w:val="20"/>
        </w:trPr>
        <w:tc>
          <w:tcPr>
            <w:tcW w:w="3300" w:type="dxa"/>
            <w:vAlign w:val="bottom"/>
            <w:gridSpan w:val="3"/>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36"/>
        </w:trPr>
        <w:tc>
          <w:tcPr>
            <w:tcW w:w="3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(346) 509-8734</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40" w:type="dxa"/>
            <w:vAlign w:val="bottom"/>
          </w:tcPr>
          <w:p>
            <w:pPr>
              <w:spacing w:after="0"/>
              <w:rPr>
                <w:sz w:val="20"/>
                <w:szCs w:val="20"/>
                <w:color w:val="auto"/>
              </w:rPr>
            </w:pPr>
          </w:p>
        </w:tc>
      </w:tr>
      <w:tr>
        <w:trPr>
          <w:trHeight w:val="430"/>
        </w:trPr>
        <w:tc>
          <w:tcPr>
            <w:tcW w:w="34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86"/>
        </w:trPr>
        <w:tc>
          <w:tcPr>
            <w:tcW w:w="3460" w:type="dxa"/>
            <w:vAlign w:val="bottom"/>
            <w:tcBorders>
              <w:top w:val="single" w:sz="8" w:color="auto"/>
            </w:tcBorders>
          </w:tcPr>
          <w:p>
            <w:pPr>
              <w:jc w:val="center"/>
              <w:ind w:left="73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USEG</w:t>
            </w: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63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Nasdaq Capital Market LLC</w:t>
            </w:r>
          </w:p>
        </w:tc>
      </w:tr>
      <w:tr>
        <w:trPr>
          <w:trHeight w:val="238"/>
        </w:trPr>
        <w:tc>
          <w:tcPr>
            <w:tcW w:w="3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(Nasdaq Capital Market)</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4"/>
          <w:szCs w:val="24"/>
          <w:color w:val="auto"/>
        </w:rPr>
      </w:pPr>
    </w:p>
    <w:p>
      <w:pPr>
        <w:jc w:val="both"/>
        <w:ind w:right="2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Company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1" w:orient="portrait"/>
          <w:cols w:equalWidth="0" w:num="1">
            <w:col w:w="11240"/>
          </w:cols>
          <w:pgMar w:left="320" w:top="685" w:right="339" w:bottom="0" w:gutter="0" w:footer="0" w:header="0"/>
        </w:sectPr>
      </w:pPr>
    </w:p>
    <w:p>
      <w:pPr>
        <w:spacing w:after="0" w:line="1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41" w:orient="portrait"/>
          <w:cols w:equalWidth="0" w:num="2">
            <w:col w:w="4900" w:space="720"/>
            <w:col w:w="5620"/>
          </w:cols>
          <w:pgMar w:left="320" w:top="685" w:right="339" w:bottom="0" w:gutter="0" w:footer="0" w:header="0"/>
          <w:type w:val="continuous"/>
        </w:sectPr>
      </w:pPr>
    </w:p>
    <w:p>
      <w:pPr>
        <w:spacing w:after="0" w:line="1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41" w:orient="portrait"/>
          <w:cols w:equalWidth="0" w:num="1">
            <w:col w:w="11240"/>
          </w:cols>
          <w:pgMar w:left="320" w:top="685" w:right="339" w:bottom="0" w:gutter="0" w:footer="0" w:header="0"/>
          <w:type w:val="continuous"/>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447040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upon the closing price of the shares of common stock on the Nasdaq Capital Market as of June 30, 2025, the last business day of the most recently completed second fiscal quarter, based on the closing sales price on such date of $1.40, was $19,139,919. For purposes of calculating the aggregate market value of shares held by non-affiliates, we have assumed that all outstanding shares are held by non-affiliates, except for shares held by each of our executive officers, directors and 5% or greater stockholders. In the case of 5% or greater stockholders, we have not deemed such stockholders to be affiliates unless there are facts and circumstances which would indicate that such stockholders exercise any control over our company, or unless they hold 10% or more of our outstanding common stock. These assumptions should not be deemed to constitute an admission that all executive officers, directors and 5% or greater stockholders are, in fact, affiliates of our company, or that there are not other persons who may be deemed to be affiliates of our company. Further information concerning shareholdings of our officers, directors and principal shareholders is included or incorporated by reference in Part III, Item 12 of this Annual Report on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44,269,192 shares of its $0.01 par value common stock outstanding as of March 6, 2026.</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2026 annual meeting of stockholders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200660</wp:posOffset>
            </wp:positionV>
            <wp:extent cx="7132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619125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5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4"/>
        </w:trPr>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1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6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920" w:type="dxa"/>
            <w:vAlign w:val="bottom"/>
            <w:tcBorders>
              <w:top w:val="single" w:sz="8" w:color="auto"/>
            </w:tcBorders>
            <w:gridSpan w:val="13"/>
            <w:vMerge w:val="restart"/>
          </w:tcPr>
          <w:p>
            <w:pPr>
              <w:spacing w:after="0"/>
              <w:rPr>
                <w:sz w:val="24"/>
                <w:szCs w:val="24"/>
                <w:color w:val="auto"/>
              </w:rPr>
            </w:pPr>
          </w:p>
        </w:tc>
        <w:tc>
          <w:tcPr>
            <w:tcW w:w="3980" w:type="dxa"/>
            <w:vAlign w:val="bottom"/>
            <w:gridSpan w:val="5"/>
            <w:vMerge w:val="restart"/>
          </w:tcPr>
          <w:p>
            <w:pPr>
              <w:spacing w:after="0"/>
              <w:rPr>
                <w:sz w:val="24"/>
                <w:szCs w:val="24"/>
                <w:color w:val="auto"/>
              </w:rPr>
            </w:pPr>
          </w:p>
        </w:tc>
        <w:tc>
          <w:tcPr>
            <w:tcW w:w="7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4660" w:type="dxa"/>
            <w:vAlign w:val="bottom"/>
            <w:gridSpan w:val="20"/>
            <w:vMerge w:val="continue"/>
          </w:tcPr>
          <w:p>
            <w:pPr>
              <w:spacing w:after="0"/>
              <w:rPr>
                <w:sz w:val="14"/>
                <w:szCs w:val="14"/>
                <w:color w:val="auto"/>
              </w:rPr>
            </w:pPr>
          </w:p>
        </w:tc>
        <w:tc>
          <w:tcPr>
            <w:tcW w:w="1920" w:type="dxa"/>
            <w:vAlign w:val="bottom"/>
            <w:tcBorders>
              <w:top w:val="single" w:sz="8" w:color="auto"/>
            </w:tcBorders>
            <w:gridSpan w:val="13"/>
            <w:vMerge w:val="continue"/>
          </w:tcPr>
          <w:p>
            <w:pPr>
              <w:spacing w:after="0"/>
              <w:rPr>
                <w:sz w:val="14"/>
                <w:szCs w:val="14"/>
                <w:color w:val="auto"/>
              </w:rPr>
            </w:pPr>
          </w:p>
        </w:tc>
        <w:tc>
          <w:tcPr>
            <w:tcW w:w="3980" w:type="dxa"/>
            <w:vAlign w:val="bottom"/>
            <w:gridSpan w:val="5"/>
            <w:vMerge w:val="continue"/>
          </w:tcPr>
          <w:p>
            <w:pPr>
              <w:spacing w:after="0"/>
              <w:rPr>
                <w:sz w:val="14"/>
                <w:szCs w:val="14"/>
                <w:color w:val="auto"/>
              </w:rPr>
            </w:pPr>
          </w:p>
        </w:tc>
        <w:tc>
          <w:tcPr>
            <w:tcW w:w="680" w:type="dxa"/>
            <w:vAlign w:val="bottom"/>
            <w:tcBorders>
              <w:top w:val="single" w:sz="8" w:color="auto"/>
            </w:tcBorders>
            <w:gridSpan w:val="4"/>
          </w:tcPr>
          <w:p>
            <w:pPr>
              <w:jc w:val="right"/>
              <w:spacing w:after="0" w:line="168"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0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Glossary of Oil, Natural and Industrial Gas Terms</w:t>
            </w:r>
          </w:p>
        </w:tc>
        <w:tc>
          <w:tcPr>
            <w:tcW w:w="6060" w:type="dxa"/>
            <w:vAlign w:val="bottom"/>
            <w:gridSpan w:val="19"/>
          </w:tcPr>
          <w:p>
            <w:pPr>
              <w:spacing w:after="0"/>
              <w:rPr>
                <w:sz w:val="16"/>
                <w:szCs w:val="16"/>
                <w:color w:val="auto"/>
              </w:rPr>
            </w:pP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195"/>
        </w:trPr>
        <w:tc>
          <w:tcPr>
            <w:tcW w:w="7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0" w:type="dxa"/>
            <w:vAlign w:val="bottom"/>
            <w:gridSpan w:val="13"/>
          </w:tcPr>
          <w:p>
            <w:pPr>
              <w:jc w:val="center"/>
              <w:ind w:right="4660"/>
              <w:spacing w:after="0" w:line="195"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450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EE"/>
              </w:rPr>
              <w:t>Business</w:t>
            </w:r>
          </w:p>
        </w:tc>
        <w:tc>
          <w:tcPr>
            <w:tcW w:w="460" w:type="dxa"/>
            <w:vAlign w:val="bottom"/>
            <w:tcBorders>
              <w:top w:val="single" w:sz="8" w:color="0000EE"/>
            </w:tcBorders>
            <w:gridSpan w:val="2"/>
          </w:tcPr>
          <w:p>
            <w:pPr>
              <w:spacing w:after="0"/>
              <w:rPr>
                <w:sz w:val="16"/>
                <w:szCs w:val="16"/>
                <w:color w:val="auto"/>
              </w:rPr>
            </w:pPr>
          </w:p>
        </w:tc>
        <w:tc>
          <w:tcPr>
            <w:tcW w:w="4700" w:type="dxa"/>
            <w:vAlign w:val="bottom"/>
            <w:gridSpan w:val="10"/>
          </w:tcPr>
          <w:p>
            <w:pPr>
              <w:spacing w:after="0"/>
              <w:rPr>
                <w:sz w:val="16"/>
                <w:szCs w:val="16"/>
                <w:color w:val="auto"/>
              </w:rPr>
            </w:pP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Unresolved Staff Comments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EE"/>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tcBorders>
              <w:top w:val="single" w:sz="8" w:color="0000EE"/>
            </w:tcBorders>
            <w:gridSpan w:val="6"/>
          </w:tcPr>
          <w:p>
            <w:pPr>
              <w:spacing w:after="0"/>
              <w:rPr>
                <w:sz w:val="16"/>
                <w:szCs w:val="16"/>
                <w:color w:val="auto"/>
              </w:rPr>
            </w:pPr>
          </w:p>
        </w:tc>
        <w:tc>
          <w:tcPr>
            <w:tcW w:w="7620" w:type="dxa"/>
            <w:vAlign w:val="bottom"/>
            <w:gridSpan w:val="24"/>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8"/>
              </w:rPr>
              <w:t>Properties</w:t>
            </w:r>
          </w:p>
        </w:tc>
        <w:tc>
          <w:tcPr>
            <w:tcW w:w="8920" w:type="dxa"/>
            <w:vAlign w:val="bottom"/>
            <w:gridSpan w:val="33"/>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20" w:type="dxa"/>
            <w:vAlign w:val="bottom"/>
            <w:gridSpan w:val="28"/>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55</w:t>
            </w:r>
          </w:p>
        </w:tc>
        <w:tc>
          <w:tcPr>
            <w:tcW w:w="0" w:type="dxa"/>
            <w:vAlign w:val="bottom"/>
          </w:tcPr>
          <w:p>
            <w:pPr>
              <w:spacing w:after="0"/>
              <w:rPr>
                <w:sz w:val="1"/>
                <w:szCs w:val="1"/>
                <w:color w:val="auto"/>
              </w:rPr>
            </w:pPr>
          </w:p>
        </w:tc>
      </w:tr>
      <w:tr>
        <w:trPr>
          <w:trHeight w:val="410"/>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3"/>
          </w:tcPr>
          <w:p>
            <w:pPr>
              <w:jc w:val="center"/>
              <w:ind w:right="4680"/>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55</w:t>
            </w: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E"/>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8"/>
              </w:rPr>
              <w:t>[Reserved]</w:t>
            </w:r>
          </w:p>
        </w:tc>
        <w:tc>
          <w:tcPr>
            <w:tcW w:w="7240" w:type="dxa"/>
            <w:vAlign w:val="bottom"/>
            <w:tcBorders>
              <w:top w:val="single" w:sz="8" w:color="0000EE"/>
            </w:tcBorders>
            <w:gridSpan w:val="31"/>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6440" w:type="dxa"/>
            <w:vAlign w:val="bottom"/>
            <w:tcBorders>
              <w:bottom w:val="single" w:sz="8" w:color="0000EE"/>
            </w:tcBorders>
            <w:gridSpan w:val="32"/>
          </w:tcPr>
          <w:p>
            <w:pPr>
              <w:spacing w:after="0" w:line="195"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20" w:type="dxa"/>
            <w:vAlign w:val="bottom"/>
            <w:gridSpan w:val="4"/>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EE"/>
              <w:bottom w:val="single" w:sz="8" w:color="0000EE"/>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4"/>
          </w:tcPr>
          <w:p>
            <w:pPr>
              <w:spacing w:after="0"/>
              <w:rPr>
                <w:sz w:val="16"/>
                <w:szCs w:val="16"/>
                <w:color w:val="auto"/>
              </w:rPr>
            </w:pPr>
          </w:p>
        </w:tc>
        <w:tc>
          <w:tcPr>
            <w:tcW w:w="5320" w:type="dxa"/>
            <w:vAlign w:val="bottom"/>
            <w:gridSpan w:val="16"/>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6460" w:type="dxa"/>
            <w:vAlign w:val="bottom"/>
            <w:tcBorders>
              <w:bottom w:val="single" w:sz="8" w:color="0000EE"/>
            </w:tcBorders>
            <w:gridSpan w:val="33"/>
          </w:tcPr>
          <w:p>
            <w:pPr>
              <w:spacing w:after="0" w:line="195"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200" w:type="dxa"/>
            <w:vAlign w:val="bottom"/>
            <w:gridSpan w:val="3"/>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6"/>
                <w:szCs w:val="16"/>
                <w:color w:val="auto"/>
              </w:rPr>
            </w:pPr>
          </w:p>
        </w:tc>
        <w:tc>
          <w:tcPr>
            <w:tcW w:w="7900" w:type="dxa"/>
            <w:vAlign w:val="bottom"/>
            <w:gridSpan w:val="26"/>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9C.</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0000EE"/>
            </w:tcBorders>
            <w:gridSpan w:val="8"/>
          </w:tcPr>
          <w:p>
            <w:pPr>
              <w:jc w:val="center"/>
              <w:ind w:right="20"/>
              <w:spacing w:after="0" w:line="195"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462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10.</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Executive Compensation</w:t>
            </w:r>
          </w:p>
        </w:tc>
        <w:tc>
          <w:tcPr>
            <w:tcW w:w="5580" w:type="dxa"/>
            <w:vAlign w:val="bottom"/>
            <w:gridSpan w:val="17"/>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5440" w:type="dxa"/>
            <w:vAlign w:val="bottom"/>
            <w:tcBorders>
              <w:top w:val="single" w:sz="8" w:color="0000EE"/>
              <w:bottom w:val="single" w:sz="8" w:color="0000EE"/>
            </w:tcBorders>
            <w:gridSpan w:val="30"/>
          </w:tcPr>
          <w:p>
            <w:pPr>
              <w:spacing w:after="0" w:line="195"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20" w:type="dxa"/>
            <w:vAlign w:val="bottom"/>
            <w:tcBorders>
              <w:top w:val="single" w:sz="8" w:color="0000EE"/>
            </w:tcBorders>
            <w:gridSpan w:val="4"/>
          </w:tcPr>
          <w:p>
            <w:pPr>
              <w:spacing w:after="0"/>
              <w:rPr>
                <w:sz w:val="16"/>
                <w:szCs w:val="16"/>
                <w:color w:val="auto"/>
              </w:rPr>
            </w:pPr>
          </w:p>
        </w:tc>
        <w:tc>
          <w:tcPr>
            <w:tcW w:w="240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9660" w:type="dxa"/>
            <w:vAlign w:val="bottom"/>
            <w:gridSpan w:val="36"/>
          </w:tcPr>
          <w:p>
            <w:pPr>
              <w:spacing w:after="0" w:line="195"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410"/>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15"/>
          </w:tcPr>
          <w:p>
            <w:pPr>
              <w:jc w:val="center"/>
              <w:ind w:right="4620"/>
              <w:spacing w:after="0"/>
              <w:rPr>
                <w:sz w:val="20"/>
                <w:szCs w:val="20"/>
                <w:color w:val="auto"/>
              </w:rPr>
            </w:pPr>
            <w:r>
              <w:rPr>
                <w:rFonts w:ascii="Times New Roman" w:cs="Times New Roman" w:eastAsia="Times New Roman" w:hAnsi="Times New Roman"/>
                <w:sz w:val="18"/>
                <w:szCs w:val="18"/>
                <w:b w:val="1"/>
                <w:bCs w:val="1"/>
                <w:color w:val="0000EE"/>
                <w:w w:val="99"/>
              </w:rPr>
              <w:t>Part IV</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1280" w:type="dxa"/>
            <w:vAlign w:val="bottom"/>
            <w:gridSpan w:val="7"/>
          </w:tcPr>
          <w:p>
            <w:pPr>
              <w:spacing w:after="0"/>
              <w:rPr>
                <w:sz w:val="16"/>
                <w:szCs w:val="16"/>
                <w:color w:val="auto"/>
              </w:rPr>
            </w:pPr>
          </w:p>
        </w:tc>
        <w:tc>
          <w:tcPr>
            <w:tcW w:w="580" w:type="dxa"/>
            <w:vAlign w:val="bottom"/>
            <w:tcBorders>
              <w:top w:val="single" w:sz="8" w:color="0000EE"/>
            </w:tcBorders>
            <w:gridSpan w:val="6"/>
          </w:tcPr>
          <w:p>
            <w:pPr>
              <w:spacing w:after="0"/>
              <w:rPr>
                <w:sz w:val="16"/>
                <w:szCs w:val="16"/>
                <w:color w:val="auto"/>
              </w:rPr>
            </w:pPr>
          </w:p>
        </w:tc>
        <w:tc>
          <w:tcPr>
            <w:tcW w:w="4640" w:type="dxa"/>
            <w:vAlign w:val="bottom"/>
            <w:gridSpan w:val="8"/>
          </w:tcPr>
          <w:p>
            <w:pPr>
              <w:spacing w:after="0"/>
              <w:rPr>
                <w:sz w:val="16"/>
                <w:szCs w:val="16"/>
                <w:color w:val="auto"/>
              </w:rPr>
            </w:pP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500" w:type="dxa"/>
            <w:vAlign w:val="bottom"/>
            <w:gridSpan w:val="2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Form 10-K Summary</w:t>
            </w:r>
          </w:p>
        </w:tc>
        <w:tc>
          <w:tcPr>
            <w:tcW w:w="6500" w:type="dxa"/>
            <w:vAlign w:val="bottom"/>
            <w:gridSpan w:val="21"/>
          </w:tcPr>
          <w:p>
            <w:pPr>
              <w:spacing w:after="0"/>
              <w:rPr>
                <w:sz w:val="16"/>
                <w:szCs w:val="16"/>
                <w:color w:val="auto"/>
              </w:rPr>
            </w:pP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102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0" w:type="dxa"/>
            <w:vAlign w:val="bottom"/>
            <w:gridSpan w:val="5"/>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103</w:t>
            </w:r>
          </w:p>
        </w:tc>
        <w:tc>
          <w:tcPr>
            <w:tcW w:w="0" w:type="dxa"/>
            <w:vAlign w:val="bottom"/>
          </w:tcPr>
          <w:p>
            <w:pPr>
              <w:spacing w:after="0"/>
              <w:rPr>
                <w:sz w:val="1"/>
                <w:szCs w:val="1"/>
                <w:color w:val="auto"/>
              </w:rPr>
            </w:pPr>
          </w:p>
        </w:tc>
      </w:tr>
      <w:tr>
        <w:trPr>
          <w:trHeight w:val="451"/>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25"/>
          </w:tcPr>
          <w:p>
            <w:pPr>
              <w:jc w:val="center"/>
              <w:ind w:left="447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discussed in this Annual Report includes “forward-looking statements” within the meaning of the federal securities laws, including Section 27A of the Securities Act of 1933, as amended, Section 21E of the Securities Exchange Act of 1934, as amended, and the Private Securities Litigation Reform Act of 1995. All statements other than statements of historical facts are forward-looking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 this Annual Report include:</w:t>
      </w:r>
    </w:p>
    <w:p>
      <w:pPr>
        <w:spacing w:after="0" w:line="223" w:lineRule="exact"/>
        <w:rPr>
          <w:sz w:val="20"/>
          <w:szCs w:val="20"/>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for industrial gas, oil and natural gas exploration, development and environmental compliance;</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drilling locations and available spacing units, and possible changes in spacing rules;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expected to be available for capital expenditures and to satisfy other obligations;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recovered volumes and values of industrial gas, oil and natural gas approximating third-party estimates;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changes in oil and natural gas production and future industrial gas production;</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activities and opportunities;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drilling additional wells and performing other exploration and development projects;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spacing and the number of wells to be drilled with our industry partners;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payout-based milestones or similar thresholds will be reached for the purposes of our agreements with our partners;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working and net revenue interests, and costs of wells, relating to the drilling programs with our partners;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decline rates for producing wells;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flows, expenses and borrowings;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of potential acquisition opportunities;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wars and increased inflation and interest rates, and possible recessions caused thereby;</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pandemics on our operations, properties, the market for industrial gas, oil and natural gas, and the demand for industrial gas, oil and natural gas;</w:t>
      </w:r>
    </w:p>
    <w:p>
      <w:pPr>
        <w:spacing w:after="0" w:line="18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financial position;</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overhead reductions;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an operator of industrial gas, oil and natural gas properties;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financing and acquire attractive industrial gas, oil and natural gas properties; and</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plans and objectives for future operations, including industrial gas exploration and development.</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“may,” “expect,” “estimate,” “project,” “plan,” “believe,” “intend,” “achievable,” “anticipate,” “will,” “continue,” “potential,” “should,” “could,” “up to,” and similar terms and phrases. Though we believe that the expectations reflected in these statements are reasonable, they involve certain assumptions, risks and uncertainties. Results could differ materially from those anticipated in these statements as a result of numerous factors discussed below under “Summary of Risk Factors”, and under “Risk Factors”, below. Given these risks and uncertainties, readers are cautioned not to place undue reliance on such forward-looking statements.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Item 1A “Risk Factors” in this Annual Report on Form 10-K. All subsequent written and oral forward-looking statements attributable to the Company, or persons acting on its behalf, are expressly qualified in their entirety by the cautionary statements above. All forward-looking statements attributable to us or persons acting on our behalf are expressly qualified in their entirety by the cautionary statements made above and elsewhere in this Annual Report on Form 10-K.</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All forward-looking statements speak only at the date of the filing of this Annual Report. We do not undertake any obligation to update or revise publicly any forward-looking statements except as required by law, including the securities laws of the United States and the rules and regulations of the SEC.</w:t>
      </w:r>
    </w:p>
    <w:p>
      <w:pPr>
        <w:sectPr>
          <w:pgSz w:w="11900" w:h="16838" w:orient="portrait"/>
          <w:cols w:equalWidth="0" w:num="1">
            <w:col w:w="11240"/>
          </w:cols>
          <w:pgMar w:left="320" w:top="121" w:right="339" w:bottom="731"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731"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Oil, Natural and Industrial Gas Terms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are abbreviations and definitions of certain terms commonly used in the oil and natural gas industry and in this report. The definitions of proved developed reserves, proved reserves and proved undeveloped reserves have been abbreviated from the applicable definitions contained in Rule 4-10(a) of Regulation S-X.</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API</w:t>
      </w:r>
      <w:r>
        <w:rPr>
          <w:rFonts w:ascii="Times New Roman" w:cs="Times New Roman" w:eastAsia="Times New Roman" w:hAnsi="Times New Roman"/>
          <w:sz w:val="18"/>
          <w:szCs w:val="18"/>
          <w:color w:val="auto"/>
        </w:rPr>
        <w:t>. The American Petroleum Institute gravity, or API gravity, is a measure of how heavy or light a petroleum liquid is compared to water: if its API gravity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greater than 10, it is lighter and floats on water; if less than 10, it is heavier and sinks.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Bbl. </w:t>
      </w:r>
      <w:r>
        <w:rPr>
          <w:rFonts w:ascii="Times New Roman" w:cs="Times New Roman" w:eastAsia="Times New Roman" w:hAnsi="Times New Roman"/>
          <w:sz w:val="18"/>
          <w:szCs w:val="18"/>
          <w:color w:val="auto"/>
        </w:rPr>
        <w:t>One stock tank barrel, or 42 U.S. gallons liquid volume, used in reference to oil or other liquid hydrocarbons.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Bcfe. </w:t>
      </w:r>
      <w:r>
        <w:rPr>
          <w:rFonts w:ascii="Times New Roman" w:cs="Times New Roman" w:eastAsia="Times New Roman" w:hAnsi="Times New Roman"/>
          <w:sz w:val="18"/>
          <w:szCs w:val="18"/>
          <w:color w:val="auto"/>
        </w:rPr>
        <w:t>One billion cubic feet of natural gas equivalent. Natural gas equivalents are determined using the ratio of 6 Mcf of natural gas to 1 Bbl of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 or natural gas liquids.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BOE. </w:t>
      </w:r>
      <w:r>
        <w:rPr>
          <w:rFonts w:ascii="Times New Roman" w:cs="Times New Roman" w:eastAsia="Times New Roman" w:hAnsi="Times New Roman"/>
          <w:sz w:val="18"/>
          <w:szCs w:val="18"/>
          <w:color w:val="auto"/>
        </w:rPr>
        <w:t>A barrel of oil equivalent is determined using the ratio of 6 Mcf of natural gas to 1 Bbl of crude oil, condensate or natural gas liquid.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Boed</w:t>
      </w:r>
      <w:r>
        <w:rPr>
          <w:rFonts w:ascii="Times New Roman" w:cs="Times New Roman" w:eastAsia="Times New Roman" w:hAnsi="Times New Roman"/>
          <w:sz w:val="18"/>
          <w:szCs w:val="18"/>
          <w:color w:val="auto"/>
        </w:rPr>
        <w:t>. Barrels of oil equivalent per day.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Bopd</w:t>
      </w:r>
      <w:r>
        <w:rPr>
          <w:rFonts w:ascii="Times New Roman" w:cs="Times New Roman" w:eastAsia="Times New Roman" w:hAnsi="Times New Roman"/>
          <w:sz w:val="18"/>
          <w:szCs w:val="18"/>
          <w:color w:val="auto"/>
        </w:rPr>
        <w:t>. Barrels of oil per day.</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Completion. </w:t>
      </w:r>
      <w:r>
        <w:rPr>
          <w:rFonts w:ascii="Times New Roman" w:cs="Times New Roman" w:eastAsia="Times New Roman" w:hAnsi="Times New Roman"/>
          <w:sz w:val="18"/>
          <w:szCs w:val="18"/>
          <w:color w:val="auto"/>
        </w:rPr>
        <w:t>The installation of permanent equipment for the production of oil or natural gas, or, in the case of a dry well, the reporting to the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that the well has been abandoned. Completion of the well does not necessarily mean the well will be profitable.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Developed Acreage. </w:t>
      </w:r>
      <w:r>
        <w:rPr>
          <w:rFonts w:ascii="Times New Roman" w:cs="Times New Roman" w:eastAsia="Times New Roman" w:hAnsi="Times New Roman"/>
          <w:sz w:val="18"/>
          <w:szCs w:val="18"/>
          <w:color w:val="auto"/>
        </w:rPr>
        <w:t>The number of acres which are allocated or assignable to producing wells or wells capable of production.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Development Well. </w:t>
      </w:r>
      <w:r>
        <w:rPr>
          <w:rFonts w:ascii="Times New Roman" w:cs="Times New Roman" w:eastAsia="Times New Roman" w:hAnsi="Times New Roman"/>
          <w:sz w:val="18"/>
          <w:szCs w:val="18"/>
          <w:color w:val="auto"/>
        </w:rPr>
        <w:t>A well drilled within the proved area of an oil or natural gas reservoir to the depth of a stratigraphic horizon known to be productive.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Dry Well. </w:t>
      </w:r>
      <w:r>
        <w:rPr>
          <w:rFonts w:ascii="Times New Roman" w:cs="Times New Roman" w:eastAsia="Times New Roman" w:hAnsi="Times New Roman"/>
          <w:sz w:val="18"/>
          <w:szCs w:val="18"/>
          <w:color w:val="auto"/>
        </w:rPr>
        <w:t>A well found to be incapable of producing either oil or natural gas in sufficient quantities to justify completion as an oil or gas well.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Exploratory Well. </w:t>
      </w:r>
      <w:r>
        <w:rPr>
          <w:rFonts w:ascii="Times New Roman" w:cs="Times New Roman" w:eastAsia="Times New Roman" w:hAnsi="Times New Roman"/>
          <w:sz w:val="18"/>
          <w:szCs w:val="18"/>
          <w:color w:val="auto"/>
        </w:rPr>
        <w:t>A well drilled to find a new field or a new reservoir in a field previously found to be productive of oil or gas in another reservoir.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Gross Acres or Gross Wells. </w:t>
      </w:r>
      <w:r>
        <w:rPr>
          <w:rFonts w:ascii="Times New Roman" w:cs="Times New Roman" w:eastAsia="Times New Roman" w:hAnsi="Times New Roman"/>
          <w:sz w:val="18"/>
          <w:szCs w:val="18"/>
          <w:color w:val="auto"/>
        </w:rPr>
        <w:t>The total acres or wells, as the case may be, in which we have a working interest.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Industrial gases. </w:t>
      </w:r>
      <w:r>
        <w:rPr>
          <w:rFonts w:ascii="Times New Roman" w:cs="Times New Roman" w:eastAsia="Times New Roman" w:hAnsi="Times New Roman"/>
          <w:sz w:val="18"/>
          <w:szCs w:val="18"/>
          <w:color w:val="auto"/>
        </w:rPr>
        <w:t>Helium, carbon dioxide, nitrogen and certain hydrocarbons. (e.g., methane, propane, butane, and ethylene.)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 Operating Expenses. </w:t>
      </w:r>
      <w:r>
        <w:rPr>
          <w:rFonts w:ascii="Times New Roman" w:cs="Times New Roman" w:eastAsia="Times New Roman" w:hAnsi="Times New Roman"/>
          <w:sz w:val="18"/>
          <w:szCs w:val="18"/>
          <w:color w:val="auto"/>
        </w:rPr>
        <w:t>The expenses, usually recurring, which pay for operating the wells and equipment on a producing 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Mcf. </w:t>
      </w:r>
      <w:r>
        <w:rPr>
          <w:rFonts w:ascii="Times New Roman" w:cs="Times New Roman" w:eastAsia="Times New Roman" w:hAnsi="Times New Roman"/>
          <w:sz w:val="18"/>
          <w:szCs w:val="18"/>
          <w:color w:val="auto"/>
        </w:rPr>
        <w:t>One thousand cubic feet of natural gas.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Mcfe. </w:t>
      </w:r>
      <w:r>
        <w:rPr>
          <w:rFonts w:ascii="Times New Roman" w:cs="Times New Roman" w:eastAsia="Times New Roman" w:hAnsi="Times New Roman"/>
          <w:sz w:val="18"/>
          <w:szCs w:val="18"/>
          <w:color w:val="auto"/>
        </w:rPr>
        <w:t>One thousand cubic feet of natural gas equivalent. Natural gas equivalents are determined using the ratio of 6 Mcf of natural gas to 1 Bbl of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 or natural gas liquids.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One million Btu, or British Thermal Units. One British Thermal Unit is the quantity of heat required to raise the temperature of one pound of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one degree Fahrenheit.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Acres or Net Wells. </w:t>
      </w:r>
      <w:r>
        <w:rPr>
          <w:rFonts w:ascii="Times New Roman" w:cs="Times New Roman" w:eastAsia="Times New Roman" w:hAnsi="Times New Roman"/>
          <w:sz w:val="18"/>
          <w:szCs w:val="18"/>
          <w:color w:val="auto"/>
        </w:rPr>
        <w:t>Gross acres or wells multiplied, in each case, by the percentage working interest we own.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Production. </w:t>
      </w:r>
      <w:r>
        <w:rPr>
          <w:rFonts w:ascii="Times New Roman" w:cs="Times New Roman" w:eastAsia="Times New Roman" w:hAnsi="Times New Roman"/>
          <w:sz w:val="18"/>
          <w:szCs w:val="18"/>
          <w:color w:val="auto"/>
        </w:rPr>
        <w:t>Production that we own less royalties and production due to others.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NGL. </w:t>
      </w:r>
      <w:r>
        <w:rPr>
          <w:rFonts w:ascii="Times New Roman" w:cs="Times New Roman" w:eastAsia="Times New Roman" w:hAnsi="Times New Roman"/>
          <w:sz w:val="18"/>
          <w:szCs w:val="18"/>
          <w:color w:val="auto"/>
        </w:rPr>
        <w:t>Natural gas liquids.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Oil. </w:t>
      </w:r>
      <w:r>
        <w:rPr>
          <w:rFonts w:ascii="Times New Roman" w:cs="Times New Roman" w:eastAsia="Times New Roman" w:hAnsi="Times New Roman"/>
          <w:sz w:val="18"/>
          <w:szCs w:val="18"/>
          <w:color w:val="auto"/>
        </w:rPr>
        <w:t>Crude oil, condensate or other liquid hydrocarbons.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Operator. </w:t>
      </w:r>
      <w:r>
        <w:rPr>
          <w:rFonts w:ascii="Times New Roman" w:cs="Times New Roman" w:eastAsia="Times New Roman" w:hAnsi="Times New Roman"/>
          <w:sz w:val="18"/>
          <w:szCs w:val="18"/>
          <w:color w:val="auto"/>
        </w:rPr>
        <w:t>The individual or company responsible for the exploration, development, and production of an oil or gas well or lease.</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Pay. </w:t>
      </w:r>
      <w:r>
        <w:rPr>
          <w:rFonts w:ascii="Times New Roman" w:cs="Times New Roman" w:eastAsia="Times New Roman" w:hAnsi="Times New Roman"/>
          <w:sz w:val="18"/>
          <w:szCs w:val="18"/>
          <w:color w:val="auto"/>
        </w:rPr>
        <w:t>The vertical thickness of an oil and natural gas producing zone. Pay can be measured as either gross pay, including non-productive zones or net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only zones that appear to be productive based upon logs and test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Ppb. </w:t>
      </w:r>
      <w:r>
        <w:rPr>
          <w:rFonts w:ascii="Times New Roman" w:cs="Times New Roman" w:eastAsia="Times New Roman" w:hAnsi="Times New Roman"/>
          <w:sz w:val="18"/>
          <w:szCs w:val="18"/>
          <w:color w:val="auto"/>
        </w:rPr>
        <w:t>Means pounds per barrel.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Proved Developed Reserves. </w:t>
      </w:r>
      <w:r>
        <w:rPr>
          <w:rFonts w:ascii="Times New Roman" w:cs="Times New Roman" w:eastAsia="Times New Roman" w:hAnsi="Times New Roman"/>
          <w:sz w:val="18"/>
          <w:szCs w:val="18"/>
          <w:color w:val="auto"/>
        </w:rPr>
        <w:t>Reserves that can be expected to be recovered through existing wells with existing equipment and operating methods.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Proved Reserves. </w:t>
      </w:r>
      <w:r>
        <w:rPr>
          <w:rFonts w:ascii="Times New Roman" w:cs="Times New Roman" w:eastAsia="Times New Roman" w:hAnsi="Times New Roman"/>
          <w:sz w:val="18"/>
          <w:szCs w:val="18"/>
          <w:color w:val="auto"/>
        </w:rPr>
        <w:t>The estimated quantities of crude oil, natural gas and natural gas liquids, which geological and engineering data demonstrate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certainty to be recoverable in future years from known reservoirs under existing economic and operating conditions.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Proved Undeveloped Reserves. </w:t>
      </w:r>
      <w:r>
        <w:rPr>
          <w:rFonts w:ascii="Times New Roman" w:cs="Times New Roman" w:eastAsia="Times New Roman" w:hAnsi="Times New Roman"/>
          <w:sz w:val="18"/>
          <w:szCs w:val="18"/>
          <w:color w:val="auto"/>
        </w:rPr>
        <w:t>Reserves that are expected to be recovered from new wells on undrilled acreage or from existing wells where a relatively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expenditure is required for recompletion.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PV-10. </w:t>
      </w:r>
      <w:r>
        <w:rPr>
          <w:rFonts w:ascii="Times New Roman" w:cs="Times New Roman" w:eastAsia="Times New Roman" w:hAnsi="Times New Roman"/>
          <w:sz w:val="18"/>
          <w:szCs w:val="18"/>
          <w:color w:val="auto"/>
        </w:rPr>
        <w:t>The pre-tax present value of estimated future revenues to be generated from the production of proved reserves calculated in accordance with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net of estimated production and future development costs, using prices and costs as of the date of estimation without future escalation, without giving effect to non-property related expenses such as general and administrative expenses, debt service and depreciation, depletion and amortization, and discounted using an annual discount rate of 10%.</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Royalty. </w:t>
      </w:r>
      <w:r>
        <w:rPr>
          <w:rFonts w:ascii="Times New Roman" w:cs="Times New Roman" w:eastAsia="Times New Roman" w:hAnsi="Times New Roman"/>
          <w:sz w:val="18"/>
          <w:szCs w:val="18"/>
          <w:color w:val="auto"/>
        </w:rPr>
        <w:t>An interest in an oil and natural gas lease that gives the owner of the interest the right to receive a portion of the production from the leased acreage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Standardized Measure. </w:t>
      </w:r>
      <w:r>
        <w:rPr>
          <w:rFonts w:ascii="Times New Roman" w:cs="Times New Roman" w:eastAsia="Times New Roman" w:hAnsi="Times New Roman"/>
          <w:sz w:val="18"/>
          <w:szCs w:val="18"/>
          <w:color w:val="auto"/>
        </w:rPr>
        <w:t>The after-tax present value of estimated future revenues to be generated from the production of proved reserves calculated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 guidelines, net of estimated production and future development costs, using prices and costs as of the date of estimation without future escalation, without giving effect to non-property related expenses such as general and administrative expenses, debt service and depreciation, depletion and amortization, and discounted using an annual discount rate of 10%.</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Working Interest. </w:t>
      </w:r>
      <w:r>
        <w:rPr>
          <w:rFonts w:ascii="Times New Roman" w:cs="Times New Roman" w:eastAsia="Times New Roman" w:hAnsi="Times New Roman"/>
          <w:sz w:val="18"/>
          <w:szCs w:val="18"/>
          <w:color w:val="auto"/>
        </w:rPr>
        <w:t>An interest in an oil and natural gas lease that gives the owner of the interest the right to drill for and produce oil and natural gas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leased acreage and requires the owner to pay a share of the costs of drilling and production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w:t>
      </w:r>
      <w:r>
        <w:rPr>
          <w:rFonts w:ascii="Times New Roman" w:cs="Times New Roman" w:eastAsia="Times New Roman" w:hAnsi="Times New Roman"/>
          <w:sz w:val="18"/>
          <w:szCs w:val="18"/>
          <w:color w:val="auto"/>
        </w:rPr>
        <w:t>. West Texas Intermediate.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this Annual Report on Form 10-K (this “Report”), we may rely on and refer to information regarding the oil and gas industry or the industrial gas industry in general from market research reports, analyst reports and other publicly available information. Although we believe that this information is reliable, we cannot guarantee the accuracy and completeness of this information, we have not independently verified any of it and we have not commissioned any of the market or survey data that is presented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“Glossary of Oil, Natural and Industrial Gas Terms” above for a list of abbreviations and definitions used throughout this Report.</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fiscal year ends on December 31st. Interim results are presented on a quarterly basis for the quarters ended March 31st, June 30th, and September 30th, the first quarter, second quarter and third quarter, respectively, with the quarter ending December 31st being referenced herein as our fourth quarter. Fiscal 2025 means the year ended December 31, 2025, whereas fiscal 2024 means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references to the “Company,” “we,” “us,” “our,” “U.S. Energy,” and “U.S. Energy Corp.” refer specifically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Corp. and its consolidated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unless the context otherwise requires and for the purposes of this Report only:</w:t>
      </w:r>
    </w:p>
    <w:p>
      <w:pPr>
        <w:spacing w:after="0" w:line="223" w:lineRule="exact"/>
        <w:rPr>
          <w:sz w:val="20"/>
          <w:szCs w:val="20"/>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or the “Commission” refers to the United States Securities and Exchange Commission; and</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U.S. Energy Corp. was incorporated in the State of Wyoming on January 26, 1966, and reincorporated to Delaware effective on August 3, 2022. We are an industrial gas and energy company focused on the acquisition and development of industrial gases, oil and natural gas producing properties in the continental United States. Our principal properties and operations are in the Rockies region (Montana and Wyoming), the Mid-Continent (Oklahoma, and North and East Texas), and the Gulf Coast region.</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previously explored for and produced oil and natural gas through a non-operator business model, however, during 2020 we acquired operated properties in North Dakota, New Mexico, Wyoming and the Texas Gulf Coast, and on January 5, 2022, we closed the acquisitions of certain oil and gas properties from three separate sellers, representing a diversified portfolio of primarily operated, producing, oil-weighted assets located across the Rockies, West Texas, Eagle Ford, and Mid-Continent regions. Beginning in the fourth quarter 2023 and continuing through year-end 2025, we sold several legacy oil and natural gas assets and redeployed the capital into our industrial gas focus area. Our current oil and natural gas production is primarily located in the Rockies and Mid-Continent regions.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business strategy going forward is to enhance the value of our acquired operated assets through evaluation of selected properties with the goal of increasing production and reserves. We plan to deploy our capital in a conservative and strategic manner and pursue value-enhancing transactions. We also continuously evaluate strategic alternative opportunities that we believe will enhance stockholder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Gas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2024, the Company acquired approximately 144,000 acres across the Kevin Dome in Toole County, Montana for the purposes of exploring and exploiting multiple, industrial gas streams. On January 7, 2025, we acquired an additional 24,000 net acres that are contiguous to our existing positions in Toole County including a non-producing well that is expected to be completed and tested in the first half of 2026. Additionally, we drilled and completed two new industrial gas wells in 2025 and have filed monitoring, reporting and verifications applications with the government regulators that, assuming approved, will allow us to inject or dispose of carbon dioxide and waste gases, which is complementary to our ongoing development activities. Other ongoing activities include the detail design of a processing facility, gathering and transportation system, and power infrastructure, as well as securing rights of way, injection agreements, and negotiating an offtake agreement with a third party.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Location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1616 S. Voss Road, Suite 725, Houston, Texas 77057. Our telephone number is (346) 509-8734.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Operations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participate in oil and natural gas projects primarily as an operator. Our working interest varies by project and may change over time based on the terms of our leases and operating agreements. Key attributes of our oil and natural gas properties include the following:</w:t>
      </w:r>
    </w:p>
    <w:p>
      <w:pPr>
        <w:spacing w:after="0" w:line="162" w:lineRule="exact"/>
        <w:rPr>
          <w:sz w:val="20"/>
          <w:szCs w:val="20"/>
          <w:color w:val="auto"/>
        </w:rPr>
      </w:pPr>
    </w:p>
    <w:p>
      <w:pPr>
        <w:jc w:val="both"/>
        <w:ind w:left="240" w:hanging="120"/>
        <w:spacing w:after="0" w:line="264" w:lineRule="auto"/>
        <w:rPr>
          <w:sz w:val="20"/>
          <w:szCs w:val="20"/>
          <w:color w:val="auto"/>
        </w:rPr>
      </w:pPr>
      <w:r>
        <w:rPr>
          <w:rFonts w:ascii="Times New Roman" w:cs="Times New Roman" w:eastAsia="Times New Roman" w:hAnsi="Times New Roman"/>
          <w:sz w:val="18"/>
          <w:szCs w:val="18"/>
          <w:color w:val="auto"/>
        </w:rPr>
        <w:t>●Estimated proved reserves of 1,451,821 barrels of oil equivalent (BOE) (75% oil and 25% natural gas) as of December 31, 2025, with a standardized measure of value of $16.7 million, utilizing prices of $ 65.34 per barrel for oil and $ 3.39 per Mcf for natural gas in accordance with Securities and Exchange Commission requirements.</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our oil and natural gas leases covered 160,714 gross acres and 134,025 net acres.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●231 gross (209 net) producing wells as of December 31, 2025.</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●451 BOE per day average net production for 2025.</w:t>
      </w:r>
    </w:p>
    <w:p>
      <w:pPr>
        <w:sectPr>
          <w:pgSz w:w="11900" w:h="16838" w:orient="portrait"/>
          <w:cols w:equalWidth="0" w:num="1">
            <w:col w:w="11240"/>
          </w:cols>
          <w:pgMar w:left="320" w:top="121"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Additional information about our oil and gas properties and operations can be found in "Item 2. Properties".</w:t>
      </w:r>
    </w:p>
    <w:p>
      <w:pPr>
        <w:sectPr>
          <w:pgSz w:w="11900" w:h="16838" w:orient="portrait"/>
          <w:cols w:equalWidth="0" w:num="1">
            <w:col w:w="10139"/>
          </w:cols>
          <w:pgMar w:left="320" w:top="336" w:right="1440" w:bottom="1440" w:gutter="0" w:footer="0" w:header="0"/>
        </w:sect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336" w:right="1440" w:bottom="1440" w:gutter="0" w:footer="0" w:header="0"/>
          <w:type w:val="continuous"/>
        </w:sectPr>
      </w:pPr>
    </w:p>
    <w:bookmarkStart w:id="9" w:name="page10"/>
    <w:bookmarkEnd w:id="9"/>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Divestment of Properties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South Texas, the Company divested its assets in Karnes County, Texas, for approximately $5.2 million in net cash proceeds after customary purchase price adjustments, effective April 1, 2024, with the transaction closing on July 31, 2024. These primarily operated properties, consisting of 8 gross wells, which averaged 155 barrels of oil equivalent per day (85% oil) during the first quarter of 2024, representing 13% of our total production over that period.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East Texas, the Company sold the majority of its assets across Anderson, Chambers, Henderson, and Liberty Counties, Texas, for $6.8 million in net cash proceeds, effective November 1, 2024, with the transaction closing on December 31, 2024. This package, comprising 122 gross wells, averaged approximately 1.1 million cubic feet per day of natural gas and 168 barrels of oil per day (48% oil) for the quarter ending September 30, 2024.</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Mid-con region, the Company divested all of its operated properties in the state of Kansas and Kay County, Oklahoma, for $1.2 million in net cash proceeds, effective November 1, 2024, with the transaction closing on October 31, 2024. This package comprised 21 gross wells.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Properties divested during 2024 represented 42% of the beginning of the year reserve volumes. The Company recognized a $5.0 million loss on the sale of its East Texas properties in the fourth quarter of 2024. The Company considered this a significant divestment that would significantly alter the relationship between capitalized costs and proved reserves as the divestiture represented 36% of our reserve volumes and 30% of our reserve value at the date of the divestiture.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net proceeds from these divestitures were used to fund the continued development of the Company's industrial gas project in Montana, as well as for general corporate purposes. These divestitures reflect the Company's strategic portfolio management, exiting non-core geographic regions to enhance liquidity, strengthen the balance sheet, and redirect capital toward high-growth opportunities.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2025, the Company entered into a negotiated post-closing cash settlement and recognized a loss of $424 thousand on our $6.8 million divestment of properties located in Henderson, Anderson, Liberty, and Chambers County, Texas that closed on December 31, 2024 (as discussed above). The Company also closed on the sale of a portion of our Wyoming properties for approximately $500 thousand.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Wavetech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26, 2024, we entered into and closed the transactions contemplated by, a purchase and sale agreement with Wavetech Helium (“Wavetech” and the “Purchase Agreement”). Pursuant to the Purchase Agreement, effective June 1, 2024, we acquired 82.5% of Wavetech's rights under a farmout agreement for approximately 144,000 net acres located across the Kevin Dome Structure in Toole County, Montana (“the Assigned Rights”). The Assigned Rights vest upon the drilling of two wells on the property. In consideration for the Assigned Rights, the Company paid Wavetech $2.0 million in cash and 2.6 million shares of restricted common stock, which were valued at $2.7 million on June 26, 2024. In addition, prior to the closing of the Purchase Agreement, the Company incurred $0.4 million of transaction costs related to the acquisition of the Assigned Rights. Additionally, we agreed to be responsible for 100% of capital costs, including costs related to project exploration, appraisal, development drilling and completion until $20 million has been incurred related to Wavetech's 17.5% interest. The Company accounted for the acquisition of the Assigned Rights as an asset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Synergy</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7, 2025, we entered and simultaneously closed the transactions contemplated by, a purchase and sale agreement, with Synergy Offshore LLC (“Synergy”). Synergy is controlled by Mr. Duane H. King, a member of the Board of Directors of the Company, who serves as the Chief Executive Officer and Manager of Synergy, and John A. Weinzierl, the Company’s Chairman, who was then an approximate sixty percent beneficial owner of Synergy.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acquired approximately 24,000 net operated acres located across the Kevin Dome structure in Toole County, Montana, including all leases, wells, rights and interests in, under or derived from the acquired acreage subject to Synergy retaining an undivided twenty percent (20%) of Synergy’s right title and interest in the property.</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Consideration for the transaction consisted of the following: (a) $2.0 million in cash, subject to customary adjustments; (b) 1,400,000 shares of the Company’s common stock; (c) a carried working interest whereby the Company agreed to cover and pay for 100% of Synergy’s costs attributable to the Synergy acreage, until the earlier of (i) 78 months from the closing date; or (ii) the date the total costs associated therewith total $20 million; (d) our agreement to pay Synergy 18% of the cash amounts we actually realize from any law or regulation from our sequestration of carbon oxides or similar substances derived directly from an agreed area of mutual interest including Synergy’s acreage; and (e) our agreement to pay Synergy 18% of any gain we may receive in connection with the sale of the future, first, gas processing plant located on Synergy’s acreage.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Activities</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September 10, 2024, the Company settled all of its then outstanding commodity derivative contracts for 2024 and 2025 production receiving $1.8 million. As of December 31, 2025 and 2024, we no longer have any commodity derivative contracts outstanding.</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22, 2025, the Company entered into an underwriting agreement (the “Underwriting Agreement”) with Roth Capital Partners, LLC (the “Representative”), as representative of the several underwriters named in the Underwriting Agreement (the “Underwriters”), relating to an underwritten offering of 4,236,000 shares of common stock, par value $0.01 per share, of the Company at a price to the public of $2.65 per share (such offering, the “Offering”).</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Under the terms of the Underwriting Agreement, the Company granted the Underwriters a 30-day option to purchase up to 635,400 additional shares of common stock (the “Option”), which was exercised in full on January 25, 2025.</w:t>
      </w:r>
    </w:p>
    <w:p>
      <w:pPr>
        <w:sectPr>
          <w:pgSz w:w="11900" w:h="16845" w:orient="portrait"/>
          <w:cols w:equalWidth="0" w:num="1">
            <w:col w:w="11240"/>
          </w:cols>
          <w:pgMar w:left="320" w:top="121" w:right="339"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45" w:orient="portrait"/>
          <w:cols w:equalWidth="0" w:num="1">
            <w:col w:w="11240"/>
          </w:cols>
          <w:pgMar w:left="320" w:top="121" w:right="339" w:bottom="0" w:gutter="0" w:footer="0" w:header="0"/>
          <w:type w:val="continuous"/>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sale of 4,871,400 shares of common stock (including the full 635,400 Option) in connection with the Offering, closed on January 23, 2025. The Company intends to use the approximately $12.1 million of net proceeds from the Offering, after deducting the underwriting discounts and commissions and estimated offering expenses payable by us, for the development of its recent acquisition in Montana, general corporate purposes, and working capital, or for other purposes that our board of directors, in their good faith, deems to be in the best interest of the Company. Additionally, management had the ability, pursuant to the terms of the Underwriting Agreement, to use up to the entire amount of proceeds from the Option exercise to purchase shares of common stock from Sage Road Capital, LLC (a current shareholder of the Company whose co-manager is Joshua L. Batchelor, a member of the Board of Directors of the Company) or its affiliates at a price up to the public offering price of the Offering, less underwriting discounts, which sale took place in January 2025, as discussed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Share Repurchase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27, 2025, 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may be deemed to beneficially own the shares of common stock held by the Selling Stockholders.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Share Repurchase Agreement, the Company, in a private transaction, outside of, and separate from the Company’s previously disclosed share repurchase program, on January 27, 2025, repurchased (a) 534,020 shares of common stock held by Banner, (b) 41,229 shares of common stock held by Woodford, and (c) 60,151 shares of common stock held by Sage Road, for an aggregate of $1,574,362 or $2.47775 per share, which is the price per share of the 4,871,400 shares of common stock which we sold in our underwritten public offering which closed on January 23, 2025, less underwriting discounts and commissions, and which represented an 8.2% premium to the closing sales price of the Company’s common stock on January 27, 2025.</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Share Repurchase Agreement contains customary representations, warranties and covenants of the parties. The share repurchase was approved by the disinterested members of the Board of Directors of the Company, as well as the Company’s Audit Committee, comprised solely of independent directors not affiliated with Mr. Batchelor or the Selling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29, 2025, the Board of Directors of the Company authorized and approved an extension of a then ongoing share repurchase program for up to $5.0 million of the outstanding shares of the Company’s common stock originally approved by the Board of Directors on April 26, 2023 and subsequently extended, subject to any future extensions in the discretion of the Board of Directors of the Company, the repurchase program is now scheduled to expire on June 30, 2026, when a maximum of $5.0 million of the Company’s common stock has been repurchased, or when such program is discontinued by the Board of Directors.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stock repurchase program, shares may be repurchased from time to time in the open market or through negotiated transactions at prevailing market prices, or by other means in accordance with federal securities laws. Repurchases will be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will be funded using the Company’s working capital.</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2025, the Company repurchased 197,400 shares of common stock for $317 thousand, at a weighted average price of $1.61 per share. For the year ended December 31, 2024, the Company repurchased 617,000 shares for $730 thousand at a weighted average price of $1.18 per share. As of December 31, 2025, a total of $3.5 million remained available under the repurchase program for future repurchases.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On September 16, 2025, effective August 1, 2025, the Company entered into a First Amendment to Credit Agreement and Limited Waiver (“Amendment”) with FirstBank, as administrative agent for the lenders party thereto, and such lenders.</w:t>
      </w:r>
    </w:p>
    <w:p>
      <w:pPr>
        <w:ind w:right="280"/>
        <w:spacing w:after="0" w:line="253" w:lineRule="auto"/>
        <w:rPr>
          <w:sz w:val="20"/>
          <w:szCs w:val="20"/>
          <w:color w:val="auto"/>
        </w:rPr>
      </w:pPr>
      <w:r>
        <w:rPr>
          <w:rFonts w:ascii="Times New Roman" w:cs="Times New Roman" w:eastAsia="Times New Roman" w:hAnsi="Times New Roman"/>
          <w:sz w:val="18"/>
          <w:szCs w:val="18"/>
          <w:color w:val="auto"/>
        </w:rPr>
        <w:t>Significant revisions made to the Credit Amendment as a result of the Amendment include extending the maturity date of amounts owed from January 5, 2026 to May 31, 2029, lowering the borrowing base from $20.0 million to $10.0 million, and deferring the next test period for the ratio of total debt to EBITDAX to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9, 2025, we entered into a purchase agreement and a related registration rights agreement (the “Registration Rights Agreement”) with Roth Principal Investments, LLC (“Roth Principal Investments”). Subject to the terms and conditions of the purchase agreement, we may, in our sole discretion, sell to Roth Principal Investments up to $25,000,000 of shares of our common stock (the “Commitment Amount”) from time to time during the term of the purchase agreement. We are under no obligation to sell any shares, and Roth Principal Investments is required to purchase shares only as directed by us and subject to the Purchase Agreement.</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the Registration Rights Agreement, we filed a registration statement to register the resale of up to 24,100,000 shares of common stock, consisting of (i) up to 23,876,859 shares of common stock that we may elect to sell to Roth Principal Investments (the “Purchase Shares”) and (ii) 223,141 shares of common stock issued to Roth Principal Investments upon execution of the Purchase Agreement (the “Commitment Shares”).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and after December 1, 2025, and for a period of up to 24 months (the “Commitment Period”), unless earlier terminated, we may direct Roth Principal Investments to purchase shares of common stock through one or more “Market Open Purchases” or “Intraday Purchases,” each subject to the terms, conditions, notice requirements, and limitations set forth in the Purchase Agreement, including the requirement that the closing sale price of our common stock on the trading day immediately prior to the applicable Purchase Date is not less than the “Threshold Price.”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per share purchase price for shares sold in a Market Open Purchase or an Intraday Purchase is based on the volume weighted average price (“VWAP”) of our common stock during the applicable valuation period, less a fixed 2.5% discount, subject to the applicable minimum price thresholds and other adjustments set forth in the Purchase Agreement. There is no upper limit on the per share price that Roth Principal Investments may be required to pay.</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80" w:lineRule="auto"/>
        <w:rPr>
          <w:sz w:val="20"/>
          <w:szCs w:val="20"/>
          <w:color w:val="auto"/>
        </w:rPr>
      </w:pPr>
      <w:r>
        <w:rPr>
          <w:rFonts w:ascii="Times New Roman" w:cs="Times New Roman" w:eastAsia="Times New Roman" w:hAnsi="Times New Roman"/>
          <w:sz w:val="18"/>
          <w:szCs w:val="18"/>
          <w:color w:val="auto"/>
        </w:rPr>
        <w:t>We control the timing and amount of any sales under the purchase agreement. Actual sales, if any, will depend on market conditions, the trading price of our common stock and our capital needs. Net proceeds, if any, are expected to be used for working capital and general corporate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Nasdaq rules, issuances under the purchase agreement may not exceed 7,123,382 shares of common stock, representing 19.99% of the shares outstanding immediately prior to execution of the purchase agreement (the “Exchange Cap”), unless stockholder approval is obtained or the average price paid by Roth Principal Investments equals or exceeds $1.2788, in which case the Exchange Cap will not apply. In addition, issuances may not result in Roth Principal Investments and its affiliates beneficially owning more than 4.99% of our outstanding common stock (the “Beneficial Ownership Limitation”).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purchase agreement will terminate upon the earliest to occur of the expiration of the Commitment Period, the purchase of the full Commitment Amount, certain listing or bankruptcy events, or earlier termination by us upon 10 trading days’ prior written notice. Neither the purchase agreement nor the Registration Rights Agreement may be assigned or amended except as expressly permitted therein.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consideration for Roth Principal Investments’ commitment, we paid a $25,000 structuring fee, issued 223,141 Commitment Shares, agreed to pay a $180,000 cash commitment fee (the “Cash Commitment Fee”), and agreed to potential make-whole payments of up to $270,000 under certain circumstances. We also agreed to reimburse Roth Principal Investments’ legal fees in the amounts specified in the purchase agreement.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the purchase price for Purchase Shares is based on future VWAP calculations, we cannot determine the actual number of shares that may be issued under the purchase agreement. If all shares registered for resale under this prospectus were issued, such issuances would result in significant dilution to existing stockholders.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Laws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operations and properties are subject to extensive and changing federal, state and local laws and regulations relating to environmental protection, including the generation, storage, handling, emission, transportation and discharge of materials into the environment, and relating to safety and health. The recent trend in environmental legislation and regulation generally is toward stricter standards, and this trend will likely continue. These laws and regulations may: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 the acquisition of a permit or other authorization before construction or drilling commences and for certain other activities;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 or prohibit construction, drilling and other activities on certain lands lying within wilderness and other protected areas; and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●Impose substantial liabilities for pollution resulting from operations.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permits required for our operations may be subject to revocation, modification and renewal by issuing authorities. Governmental authorities have the power to enforce their regulations, and violations are subject to fines or injunctions, or both. In the opinion of management, we are in substantial compliance with current applicable environmental laws and regulations and have no significant commitments for capital expenditures to comply with existing environmental requirements, although future regulatory changes could require additional capital expenditures. Nevertheless, changes in existing environmental laws and regulations or in interpretations thereof could have a significant impact on our company, as well as the oil and natural gas industry in general.</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Comprehensive Environmental, Response, Compensation, and Liability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CERCLA and comparable state statutes impose strict, joint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liabilities on owners and operators of sites and on persons who disposed of or arranged for the disposal of “hazardous substances” found at such sites. These persons include the owner or operator of the site where the release occurred, persons who disposed or arranged for the disposal of hazardous substances at the site, and any person who accepted hazardous substances for transportation to the site. CERCLA authorizes the Environmental Protection Agency (“EPA”), state environmental agencies, and in some cases third parties, to take actions in response to threats to the public health or the environment and to seek to recover from the responsible classes of persons the costs they incur. It is not uncommon for the neighboring landowners and other third parties to file claims for personal injury and property damage allegedly caused by the hazardous substances released into the environment. Although CERCLA currently excludes petroleum from its definition of “hazardous substance,” state laws affecting our operations may impose clean-up liability relating to petroleum and petroleum related products.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Waste Handling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Resource Conservation and Recovery Act (“RCRA”) and comparable state statutes regulate the generation, transportation,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storage, disposal, and cleanup of hazardous and non-hazardous wastes. Under the auspices of the EPA, individual states administer some or all of the provisions of RCRA, sometimes in conjunction with their own, more stringent requirements. Drilling fluids, produced water, and most of the other wastes associated with the exploration, development, and production of oil or gas are currently regulated under RCRA’s non-hazardous waste provisions. However, it is possible that certain oil and gas exploration and production wastes now classified as non-hazardous could be reclassified as hazardous wastes in the future. Any such change could result in an increase in our costs to manage and dispose of wastes, which could have a material adverse effect on our results of operations and financial position.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Endangered Species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federal Endangered Species Act and analogous state laws regulate activities that could have an adverse effect on threatened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endangered species. Some of our operations are conducted in areas where protected species are known to exist. In these areas, we may be obligated to develop and implement plans to avoid potential adverse impacts on protected species, and we may be prohibited from conducting operations in certain locations or during certain seasons, such as breeding and nesting seasons. It is also possible that a federal or state agency could order a complete halt to activities in certain locations if it is determined that such activities may have a serious adverse effect on a protected species. The presence of a protected species in areas where we perform drilling, completion, and production activities could impair our ability to timely complete well drilling and development and could adversely affect our future production from those areas.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Emissions. </w:t>
      </w:r>
      <w:r>
        <w:rPr>
          <w:rFonts w:ascii="Times New Roman" w:cs="Times New Roman" w:eastAsia="Times New Roman" w:hAnsi="Times New Roman"/>
          <w:sz w:val="18"/>
          <w:szCs w:val="18"/>
          <w:color w:val="auto"/>
        </w:rPr>
        <w:t>The federal Clean Air Act (the “CAA”) and state air pollution laws and regulations provide a framework for national, state and local efforts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protect air quality. Applicable to our business and operations, the CAA regulates emissions from oil and natural gas production and processing operations. The CAA includes New Source Performance Standards ("NSPS") for the oil and natural gas source category addressing emissions of methane, volatile organic compounds ("VOCs"), and other pollutants, as well as National Emissions Stands for Hazardous Air Pollutants ("NESHAP"). Further, the CAA regulates the emissions from compressors, dehydrators, storage tanks and other production equipment as well as leak detection for natural gas processing plants. These rules have required a number of modifications to the operations of our third-party operating partners, including the installation of new equipment to control emissions from compressors.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EPA has adopted, and continues to adopt and revise, regulations governing emissions from oil and natural gas operations. These regulations include expanded methane emission standards and leak detection requirements applicable to both new and existing sources. We do not expect that currently applicable NSPS or NESHAP requirements will have a material adverse effect on our business, financial condition or results of operations; however, future regulatory changes could require additional permitting, operational modifications or capital expenditures.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17, 2014, the EPA proposed to revise and lower the existing 75 pounds per barrel (ppb) National Ambient Air Quality Standard (“NAAQS”) for ozone under the CAA to a range within 65-70 ppb. On October 1, 2015, the EPA finalized a rule that lowered the standard to 70 ppb. This lowered ozone NAAQS could result in an expansion of ozone nonattainment areas across the United States, including areas in which we operate. Oil and natural gas operations in ozone nonattainment areas likely would be subject to more stringent emission controls, emission offset requirements for new sources, and increased permitting delays and costs.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Permit and related compliance obligations under the CAA, each state’s development and promulgation of regulatory programs to comport with federal requirements, as well as changes to state implementation plans for controlling air emissions in regional non-attainment or near-non-attainment areas, may require oil and natural gas exploration and production operators to incur future capital and operating expenditures in connection with the addition or modification of existing air emission control equipment and strategies.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Global Warming and Climate Change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state governments and regional organizations have enacted, or are considering enacting, new legislation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promulgating new regulations governing or restricting the emission of Greenhouse Gases ("GHGs"), including from facilities, vehicles and equipment. Legislative and regulatory proposals for restricting GHG emissions or otherwise addressing climate change could require us to incur additional operating costs and could adversely affect demand for the oil and natural gas that we sell or the cost of the equipment and other materials we use. The potential increase in our operating costs could include new or increased costs to obtain permits, operate and maintain our equipment, install new emission controls on our equipment, pay taxes related to our greenhouse gas emissions and administer and manage a greenhouse gas emissions program.</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development of a federal renewable energy standard, or the development of additional or more stringent renewable energy standards at the state level could reduce the demand for the oil and gas we produce, thereby adversely impacting our earnings, cash flows and financial position. A cap-and-trade program generally would cap overall greenhouse gas emissions on an economy-wide basis and require major sources of greenhouse gas emissions or major fuel producers to acquire and surrender emission allowances. A federal cap and trade program or expanded use of cap and trade programs at the state level could impose direct costs on us through the purchase of allowances and could impose indirect costs by incentivizing consumers to shift away from fossil fuels. In addition, federal or state carbon taxes could directly increase our costs of operation and similarly incentivize consumers to shift away from fossil fuels.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activists concerned about the potential effects of climate change have directed their attention at sources of funding for fossil-fuel energy companies, which has resulted in an increasing number of financial institutions, funds and other sources of capital restricting or eliminating their investment in oil and natural gas activities. Ultimately, this may make it more difficult and expensive for us to secure funding. Members of the investment community have also begun to screen companies such as ours for sustainability performance, including practices related to greenhouse gases and climate change, before investing in our securities. Any efforts to improve our sustainability practices in response to these pressures may increase our costs, and we may be forced to implement technologies that are not economically viable in order to improve our sustainability performance and to meet the specific requirements to perform services for certain customers.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various legislative, regulatory and other activities addressing greenhouse gas emissions could adversely affect our business, including by imposing reporting obligations on, or limiting emissions of greenhouse gases from, our equipment and operations, which could require us to incur costs to reduce emissions of greenhouse gases associated with our operations. Limitations on greenhouse gas emissions could also adversely affect demand for oil and gas, which could lower the value of our reserves and have a material adverse effect on our profitability, financial condition and liquidity.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Compliance with GHG laws or taxes could significantly increase our costs, reduce demand for fossil energy derived products, impact the cost and availability of capital and increase our exposure to litigation. Such laws and regulations could also increase demand for less carbon intensive energy sources.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discharges. </w:t>
      </w:r>
      <w:r>
        <w:rPr>
          <w:rFonts w:ascii="Times New Roman" w:cs="Times New Roman" w:eastAsia="Times New Roman" w:hAnsi="Times New Roman"/>
          <w:sz w:val="18"/>
          <w:szCs w:val="18"/>
          <w:color w:val="auto"/>
        </w:rPr>
        <w:t>The federal Water Pollution Control Act (“Clean Water Act”) and analogous state laws impose restrictions and strict controls with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discharge of pollutants, including spills and leaks of oil and other substances, into waters of the United States and states. The discharge of pollutants into regulated waters is prohibited, except in accordance with the terms of a permit issued by the EPA, or analogous state agencies. This includes the discharge of certain storm water without a permit which requires periodic monitoring and sampling. In addition, the Clean Water Act regulates wastewater generated by unconventional oil and gas operations during the hydraulic fracturing process and discharged to publicly-owned wastewater treatment facilities. The Clean Water Act also prohibits discharge of dredged or fill material into waters of the United States, including wetlands, except in accordance with the terms of a permit issued by the United States Army Corps of Engineers, or a state, if the state has assumed authority to issue such permits. Federal and state regulatory agencies can impose administrative, civil, and criminal penalties for non-compliance with discharge permits or other requirements of the Clean Water Act and analogous state laws and regulations.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Oil Pollution Act of 1990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OPA addresses prevention, containment and cleanup, and liability associated with oil pollution. OPA applies to vessels,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offshore platforms, and onshore facilities. OPA subjects owners of such facilities to strict liability for containment and removal costs, natural resource damages, and certain other consequences of oil spills into jurisdictional waters. Any unpermitted release of petroleum or other pollutants from our operations could result in governmental penalties and civil liability.</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Safe Drinking Water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SDWA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disposal of oil and natural gas wastes into underground injection wells are subject to the federal Safe Drinking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 Act, as amended, and analogous state laws. The SDWA’s Underground Injection Control (“UIC”) Program establishes requirements for permitting, testing, monitoring, recordkeeping and reporting of injection well activities as well as a prohibition against the migration of fluid containing any contaminants into underground sources of drinking water. State programs may have analogous permitting and operational requirements. In response to concerns related to increased seismic activity in the vicinity of injection wells, regulators in some states are considering additional requirements related to seismic safety. For example, the Texas Railroad Commission (“RRC”) has adopted oil and natural gas permit rules for wells used to dispose of saltwater and other fluids resulting from the production of oil and natural gas in order to address these seismic activity concerns within the state. Among other things, the rules require companies seeking permits for disposal wells to provide seismic activity data in permit applications, provide for more frequent monitoring and reporting for certain wells, and allow the RRC to modify, suspend, or terminate permits on grounds that a disposal well is likely to be, or determined to be, causing seismic activity. If new regulatory initiatives are implemented that restrict or prohibit the use of underground injection wells in areas where we rely upon the use of such wells in our operations, our costs to operate may significantly increase and our ability to continue production may be delayed or limited, which could have a material adverse effect on our results of operations and financial position. In addition, any leakage from the subsurface portions of the injection wells may cause degradation of freshwater, potentially resulting in cancellation of operations of a well, issuance of fines and penalties from governmental agencies, incurrence of expenditures for remediation of the affected resource, and imposition of liability by third parties for property damages and personal injury.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Occupational Safety and Health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OSHA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OSHA and comparable state laws regulate the protection of the health and safety of employees.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Occupational Safety and Health Administration has established workplace safety standards that provide guidelines for maintaining a safe workplace in light of potential hazards, such as employee exposure to hazardous substances. OSHA also requires employee training and maintenance of records, and the OSHA hazard communication standard and EPA community right-to-know regulations under the Emergency Planning and Community Right-to-Know Act of 1986 require that we organize and disclose information about hazardous materials used or produced in our operations.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all of the oil and natural gas production in which we have interests is developed from unconventional sources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hydraulic fracturing as part of the completion process. Hydraulic fracturing is an important and common practice used to stimulate production of hydrocarbons from tight shale formations. We routinely utilize hydraulic fracturing techniques in most of our drilling and completion programs. The process involves the injection of water, sand, and chemicals under pressure into the formation to fracture the surrounding rock and stimulate production. The process is typically regulated by state oil and gas commissions. However, even on private lands, the EPA has asserted federal regulatory authority over hydraulic fracturing involving diesel additives under the Safe Drinking Water Act’s Underground Injection Control Program. The federal Safe Drinking Water Act protects the quality of the nation’s public drinking water through the adoption of drinking water standards and controlling the injection of waste fluids, including saltwater disposal fluids, into below-ground formations that may adversely affect drinking water sources.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Increased regulation and scrutiny on oil and gas activities involving hydraulic fracturing techniques could potentially lead to a decrease in the completion of new oil and gas wells, an increase in compliance costs, delays, and changes in federal income tax laws, all of which could adversely affect our financial position, results of operations, and cash flows. As new laws or regulations that significantly restrict hydraulic fracturing are adopted at the state and local levels, such laws could make it more difficult or costly for us to perform fracturing to stimulate production from tight formations. In addition, if hydraulic fracturing becomes regulated at the federal level as a result of federal legislation or regulatory initiatives by the EPA or other federal agencies, our fracturing activities could become subject to additional permitting requirements, which could result in additional permitting delays and potential increases in costs. Restrictions on hydraulic fracturing could also reduce the amount of oil and gas that we are ultimately able to produce from our reserves.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the trend in local, state, and federal environmental legislation and regulation will continue toward stricter standards, particularly under President Biden’s administration. While we believe we are in substantial compliance with existing environmental laws and regulations applicable to our current operations and that our continued compliance with existing requirements will not have a material adverse impact on our financial condition and results of operations, we cannot give any assurance that we will not be adversely affected in the future.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National Environmental Policy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natural gas exploration, development and production activities on federal lands, including tribal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lands and lands administered by the BLM, are subject to NEPA. NEPA requires federal agencies, including the BLM, to evaluate major agency actions having the potential to significantly impact the environment. In the course of such evaluations, an agency will prepare an Environmental Assessment that assesses the potential direct, indirect and cumulative impacts of a proposed project and, if necessary, will prepare a more detailed Environmental Impact Statement that may be made available for public review and comment. If we were to conduct any exploration and production activities on federal lands in the future, those activities may need to obtain governmental permits that are subject to the requirements of NEPA. This process has the potential to delay, limit or increase the cost of developing oil and natural gas projects. Authorizations under NEPA are also subject to protest, appeal or litigation, any or all of which may delay or halt projects. Many of our activities and those of our third-party operating partners are covered under categorical exclusions which results in a shorter NEPA review process, however, the impact of the NEPA review process on our activities and those of our third-party operating partners is uncertain at this time and could lead to delays and increased costs that could materially adversely affect our revenues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subject to various rules, regulations and limitations impacting the oil and natural gas exploration and production industry as a whole.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Oil and Natural Gas Production</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oil and natural gas exploration, production and related operations are subject to extensive rules and regulations promulgated by federal, state, tribal and local authorities and agencies. For example, North Dakota requires permits for drilling operations, drilling bonds and reports concerning operations and imposes other requirements relating to the exploration and production of oil and natural gas. Many states may also have statutes or regulations addressing conservation matters, including provisions for the unitization or pooling of oil and natural gas properties, the location of wells, the method of drilling and casing wells, the surface use and restoration of properties upon which wells are drilled, the sourcing and disposal of water used in the process of drilling, the flaring of natural gas, completion and abandonment, the establishment of maximum rates of production from wells, and the regulation of spacing, plugging and abandonment of such wells. The effect of these regulations is to limit the amount of oil and natural gas that we can produce from our wells and to limit the number of wells or the locations at which we can drill. Moreover, many states impose a production or severance tax with respect to the production and sale of oil, natural gas and natural gas liquids within their jurisdictions. Failure to comply with any such rules and regulations can result in substantial penalties. The regulatory burden on the oil and natural gas industry will most likely increase our cost of doing business and may affect our profitability. Because such rules and regulations are frequently amended or reinterpreted, we are unable to predict the future cost or impact of complying with such laws. Significant expenditures may be required to comply with governmental laws and regulations and may have a material adverse effect on our financial condition and results of operations. Additionally, currently unforeseen environmental incidents may occur or past non-compliance with environmental laws or regulations may be discovered. Therefore, we are unable to predict the future costs or impact of compliance. Additional proposals and proceedings that affect the oil and natural gas industry are regularly considered by Congress, the states, the Federal Energy Regulatory Commission (“FERC”) and the courts. We cannot predict when or whether any such proposals may become effective.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Transportation of Oil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crude oil, condensate and natural gas liquids are not currently regulated and are made at negotiated prices. Nevertheless, Congress could re-enact price controls in the future. Our sales of crude oil are affected by the availability, terms and cost of transportation. The transportation of oil by common carrier pipelines is also subject to rate and access regulation. The FERC regulates interstate oil pipeline transportation rates under the Interstate Commerce Act. In general, interstate oil pipeline rates must be cost-based, although settlement rates agreed to by all shippers are permitted and market-based rates may be permitted in certain circumstances. The FERC has implemented regulations establishing an indexing system (based on inflation) for transportation rates for oil pipelines that allows a pipeline to increase its rates annually up to a prescribed ceiling, without making a cost-of-service filing. Every five years, the FERC reviews the appropriateness of the index level in relation to changes in industry costs.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way that is of material difference from those of our competitors that are similarly situated.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interstate and intrastate common carrier oil pipelines must provide service on a non-discriminatory basis. Under this open access standard, common carriers must offer service to all similarly situated shippers requesting service on the same terms and under the same rates. When oil pipelines operate at full capacity, access is generally governed by pro-rationing provisions set forth in the pipelines’ published tariffs. Accordingly, we believe that access to oil pipeline transportation services generally will be available to us to the same extent as to our similarly situated competitors.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Transportation and Sales of Natural Gas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Historically, the transportation and sale for resale of natural gas in interstate commerce has been regulated by the FERC under the Natural Gas Act of 1938 (“NGA”), the Natural Gas Policy Act of 1978 (“NGPA”) and regulations issued under those statutes. In the past, the federal government has regulated the prices at which natural gas could be sold. While sales by producers of natural gas can currently be made at market prices, Congress could reenact price controls in the future.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Onshore gathering services, which occur upstream of FERC jurisdictional transmission services, are regulated by the states.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Intrastate natural gas transportation and facilities are also subject to regulation by state regulatory agencies, and certain transportation services provided by intrastate pipelines are also regulated by FERC. The basis for intrastate regulation of natural gas transportation and the degree of regulatory oversight and scrutiny given to intrastate natural gas pipeline rates and services varies from state to state. Insofar as such regulation within a particular state will generally affect all intrastate natural gas shippers within the state on a comparable basis, we believe that the regulation of similarly situated intrastate natural gas transportation in any states in which we operate and ship natural gas on an intrastate basis will not affect our operations in any way that is of material difference from those of our competitors. Like the regulation of interstate transportation rates, the regulation of intrastate transportation rates affects the marketing of natural gas that we produce, as well as the revenues we receive for sales of our natural gas.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research and development expenditures have been incurred during the past two fiscal years.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general liability and property insurance coverage in amounts we deem sufficient for our business operations, consisting of property loss insurance on major assets for the approximate value of the assets and additional liability and operator’s and control of well insurance for our industrial gas, oil and natural gas operations and drilling programs. We do not have insurance coverage for the lost revenues associated with a business interruption, nor do we have coverage for the loss of our oil and natural gas reserves. There is no guarantee that any insurance coverage would be sufficient to protect the value of our assets or to fully cover any losses sustained. Payment of substantial liabilities in excess of coverage could require diversion of internal capital away from regular business, which could result in curtailment of projected future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March 6, 2026, we had 20 employees, none of whom were subject to a collective bargaining agreement. In addition, we utilize several consultants on an as-needed basis. We recognize that our employees are our most valuable assets and drive the way we pursue our short-term and long-term goals. To attract and retain talent we promote:</w:t>
      </w:r>
    </w:p>
    <w:p>
      <w:pPr>
        <w:spacing w:after="0" w:line="177" w:lineRule="exact"/>
        <w:rPr>
          <w:sz w:val="20"/>
          <w:szCs w:val="20"/>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and ethical behavior in the conduct of our business;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health and safety priorities: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the success of others and the team;</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why we do what we do and how every employee contributes to achieving success; and</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team members’ professional and personal development.</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core values of integrity and ethical behavior are the pillars of our culture, and as a result, the health and safety of our employees and contractors is our highest priority. All employees are responsible for upholding Company-wide standards and values. We have policies designed to promote ethical conduct and integrity that employees are required to read and acknowledge.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strive to provide competitive, performance-based compensation and benefits to our employees, including market-competitive pay, and various healthcare, retirement, and other benefit packages. The Compensation Committee of our Board of Directors oversees our compensation programs and designs programs to incentivize achievement of our corporate strategy and the matters of importance to our stakeholders.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Plan and Development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2026 and beyond, we intend to seek additional opportunities in the oil, natural gas and industrial gas sectors, including but not limited to further acquisition of assets, participation with industry partners, and the acquisition of existing companies. We also plan to finalize the detailed engineering of our processing facility and related activities necessary to begin to bring the plant online. These activities include but are not limited to acquiring surface acreage, negotiating rights of way and offtake agreements, designing power infrastructure, and generating capital to fully fund development. Our share repurchase program was extended to June 30, 2026. Repurchases of shares may resume in 2026 so long as share prices remain attractive and repurchases remain in the best interests of both the Company and its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business strategy include:</w:t>
      </w:r>
    </w:p>
    <w:p>
      <w:pPr>
        <w:spacing w:after="0" w:line="221" w:lineRule="exact"/>
        <w:rPr>
          <w:sz w:val="20"/>
          <w:szCs w:val="20"/>
          <w:color w:val="auto"/>
        </w:rPr>
      </w:pPr>
    </w:p>
    <w:p>
      <w:pPr>
        <w:jc w:val="both"/>
        <w:ind w:left="660" w:right="20" w:hanging="330"/>
        <w:spacing w:after="0" w:line="26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Deploy our Capital in a Conservative and Strategic Manner and Review Opportunities to Bolster our Liquidity</w:t>
      </w:r>
      <w:r>
        <w:rPr>
          <w:rFonts w:ascii="Times New Roman" w:cs="Times New Roman" w:eastAsia="Times New Roman" w:hAnsi="Times New Roman"/>
          <w:sz w:val="18"/>
          <w:szCs w:val="18"/>
          <w:color w:val="auto"/>
        </w:rPr>
        <w:t>. In the current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maintaining liquidity is critical. Therefore, we plan to be highly selective in the projects we evaluate and to review opportunities to bolster our liquidity and financial position through various means.</w:t>
      </w:r>
    </w:p>
    <w:p>
      <w:pPr>
        <w:spacing w:after="0" w:line="201" w:lineRule="exact"/>
        <w:rPr>
          <w:rFonts w:ascii="Times New Roman" w:cs="Times New Roman" w:eastAsia="Times New Roman" w:hAnsi="Times New Roman"/>
          <w:sz w:val="18"/>
          <w:szCs w:val="18"/>
          <w:color w:val="auto"/>
        </w:rPr>
      </w:pPr>
    </w:p>
    <w:p>
      <w:pPr>
        <w:ind w:left="660" w:right="20" w:hanging="330"/>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Evaluate and Pursue Value-Enhancing Transactions</w:t>
      </w:r>
      <w:r>
        <w:rPr>
          <w:rFonts w:ascii="Times New Roman" w:cs="Times New Roman" w:eastAsia="Times New Roman" w:hAnsi="Times New Roman"/>
          <w:sz w:val="18"/>
          <w:szCs w:val="18"/>
          <w:color w:val="auto"/>
        </w:rPr>
        <w:t>. We plan to continuously evaluate strategic alternative opportunities with the goal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stockholder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Operating Environment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industrial gas and oil and natural gas industries are affected by many factors that we cannot control. Government regulations, particularly in the areas of taxation, energy, climate change and the environment, can have a significant impact on operations and profitability. Significant factors that may impact commodity prices in the current fiscal year and future periods include international conflicts, the level of inflation and interest rates, access to capital at commercial reasonable costs, and related political developments in response to tariffs and international conflicts, demand in domestic, Asian and European markets, and the extent to which exporting nations manage commodity supply or incentivize incremental production. Seasonal weather patterns and economic cycles also have a significant impact on commodity prices in both the industrial gas and oil and gas industries.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These factors may adversely impact the supply and demand for our products and influence our ability to develop, produce, process and transport industrial gas, oil and natural gas.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Winter weather conditions can limit or temporarily halt our drilling and development activities. These constraints and the resulting shortages or high costs could delay or temporarily halt the operations and materially increase our operating and capital costs. Such seasonal anomalies can also pose timing challenges and may increase competition for equipment, supplies and personnel during the spring and summer months, which could lead to shortages and increase costs or delay or temporarily halt our operations and those of our operating partners.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Title to properties is subject to royalty, overriding royalty, carried working, net profits, working and other similar interests and contractual arrangements, liens for current taxes not yet due and other encumbrances. As is customary in the case of undeveloped properties, limited investigation of record title is made at the time of acquisition (other than preliminary review of local records).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 including a title opinion of local counsel, generally is made before commencement of drilling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Major Customers and Delivery Commitments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Markets for industrial gases, oil and natural gas are volatile and are subject to wide fluctuations depending on numerous factors beyond our control, including seasonality, economic conditions, foreign imports, political conditions, actions by exporting countries, and domestic demand, government regulations and policies. All of our existing oil and gas production is marketed by our industry partners for our benefit and is sold to competing buyers, including large oil refining companies and independent marketers. Substantially all of our production is sold pursuant to agreements with pricing based on prevailing commodity prices, subject to adjustment for regional differentials and similar factors. Our industrial gas project is under development and as such, there is no industrial gas production that is currently marketed. We had no significant delivery commitments as of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highly competitive in the search for and acquisition of oil, natural gas, and industrial gas resources. Our competitors principally consist of independent operators, small, and intermediate-sized industrial gas, oil and natural gas companies. Specifically, we compete for property acquisitions and our operating partners compete for the equipment and labor required to operate and develop our properties. Our competitors may be able to pay more for properties and may be able to define, evaluate, bid for and purchase a greater number of properties than we can. Ultimately, our future success will depend on our ability to develop or acquire additional reserves and resources at costs that allow us to remain competitive.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Annual Reports on Form 10-K, Quarterly Reports on Form 10-Q, Current Reports on Form 8-K, and amendments to reports filed pursuant to Sections 13(a) and 15(d) of the Exchange Act, are filed with the U.S. Securities and Exchange Commission. Such reports and other information filed by the Company with the SEC are available free of charge at https://investors.usnrg.com/investors/sec-filings when such reports are available on the SEC’s website. The Company periodically provides other information for investors on its corporate website, https://usnrg.com. Further, the Company’s references to website URLs are intended to be inactive textual references only. Copies of documents filed by us with the SEC are also available from us without charge, upon oral or written request to our Secretary, who can be contacted at the address and telephone number set forth on the cover page of this Report. You may also find information related to our corporate governance, board committees and code of ethics on our website.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and will continue to use, its website (https://usnrg.com) and press releases, as additional means of disclosing public information to investors, the media and others interested in the Company. It is possible that certain information that the Company posts on its website, and/or disseminated in press releases could be deemed to be material information, and the Company encourages investors, the media and others interested in the Company to review the business and financial information that the Company posts on its website and disseminates in press releases, as such information could be deemed to be material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the websites referenced in this Form 10-K is not incorporated by reference into this filing.</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as well as the other information in this filing before deciding to invest in our company. Any of the risk factors described below could significantly and adversely affect our business, prospects, financial condition and results of operations. Additional risks and uncertainties not currently known or that are currently considered to be immaterial may also materially and adversely affect our business, prospects, financial condition and results of operations. As a result, the trading price or value of our common stock could be materially adversely affected,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Risk Factors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summarized below. These risks include, but are not limited to, the following:</w:t>
      </w:r>
    </w:p>
    <w:p>
      <w:pPr>
        <w:spacing w:after="0" w:line="162" w:lineRule="exact"/>
        <w:rPr>
          <w:sz w:val="20"/>
          <w:szCs w:val="20"/>
          <w:color w:val="auto"/>
        </w:rPr>
      </w:pPr>
    </w:p>
    <w:p>
      <w:pPr>
        <w:ind w:left="660" w:hanging="330"/>
        <w:spacing w:after="0" w:line="28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cash flow from operations, borrowing, equity issuances, or other sources to fully develop our undeveloped acreage positions;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industrial gas and oil and natural gas prices, including declines in prices, which would have a negative impact on operating cash flow and could require further ceiling test write-downs or impairments on our oil and natural gas assets;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business may be subject to new adverse regulatory or legislative actions (including changes to existing tax rules and regulations and changes in environmental regulation);</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exploration and development activities, including the failure to find sufficient commercial quantities of industrial gas, oil and natural gas to provide a reasonable return on investment;</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rates, and/or the ultimate recoverability of reserves, falling below estimates;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replace oil and natural gas reserves and industrial gas resources as they deplete from production;</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risks;</w:t>
      </w:r>
    </w:p>
    <w:p>
      <w:pPr>
        <w:spacing w:after="0" w:line="222"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plan to develop additional operating capabilities, including the potential inability to recruit and retain personnel with the requisite skills and experience and liabilities we could assume or incur as an operator or to acquire operated properties or obtain operatorship of existing properties;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pipeline capacity and other means of transporting production, and related midstream infrastructure and services;</w:t>
      </w:r>
    </w:p>
    <w:p>
      <w:pPr>
        <w:spacing w:after="0" w:line="222"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leasing new acreage and for drilling programs with operating companies, resulting in less favorable terms or fewer opportunities being available;</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drilling and completion costs related to competition for drilling and completion services and shortages of labor and materials;</w:t>
      </w:r>
    </w:p>
    <w:p>
      <w:pPr>
        <w:spacing w:after="0" w:line="222"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unanticipated weather events, natural disasters, and public health crises and pandemics, such as the coronavirus, resulting in possible delays of drilling and completions and the interruption of anticipated production streams of hydrocarbons, which could impact expenses and revenues;</w:t>
      </w:r>
    </w:p>
    <w:p>
      <w:pPr>
        <w:spacing w:after="0" w:line="1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effective disclosure controls and procedures and internal control over financial reporting;</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caused by new equity and/or debt offerings, including from sales under the purchase agreement with Roth Principal Investments;</w:t>
      </w:r>
    </w:p>
    <w:p>
      <w:pPr>
        <w:spacing w:after="0" w:line="222"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capital to complete future acquisitions, conduct our operations and fund our business, and our ability to obtain such necessary funding on favorable terms, if at all and dilution caused by new equity and/or debt offerings;</w:t>
      </w:r>
    </w:p>
    <w:p>
      <w:pPr>
        <w:spacing w:after="0" w:line="161" w:lineRule="exact"/>
        <w:rPr>
          <w:rFonts w:ascii="Times New Roman" w:cs="Times New Roman" w:eastAsia="Times New Roman" w:hAnsi="Times New Roman"/>
          <w:sz w:val="18"/>
          <w:szCs w:val="18"/>
          <w:color w:val="auto"/>
        </w:rPr>
      </w:pPr>
    </w:p>
    <w:p>
      <w:pPr>
        <w:jc w:val="both"/>
        <w:ind w:left="660" w:hanging="330"/>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nature of our industrial gas, oil and gas operations, and general risks associated with the exploration for, and production; including accidents, equipment failures or unanticipated mechanical problems which may occur while drilling or completing wells or in production activities; operational hazards and unforeseen interruptions for which we may not be adequately insured; the threat and impact of terrorist attacks, cyber-attacks or similar hostilities; declining reserves and production; and losses or costs we may incur as a result of title deficiencies or environmental issues in the properties in which we invest, any one of which may adversely impact our operations;</w:t>
      </w:r>
    </w:p>
    <w:p>
      <w:pPr>
        <w:spacing w:after="0" w:line="185" w:lineRule="exact"/>
        <w:rPr>
          <w:rFonts w:ascii="Times New Roman" w:cs="Times New Roman" w:eastAsia="Times New Roman" w:hAnsi="Times New Roman"/>
          <w:sz w:val="18"/>
          <w:szCs w:val="18"/>
          <w:color w:val="auto"/>
        </w:rPr>
      </w:pPr>
    </w:p>
    <w:p>
      <w:pPr>
        <w:ind w:left="660" w:right="18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and regulatory environment, including new or amended environmental legislation or regulatory initiatives which could result in increased costs, additional operating restrictions, or delays, or have other adverse effects on us;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or new discoveries of alternative energy technologies that could have a material adverse effect on our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20" w:hanging="330"/>
        <w:spacing w:after="0" w:line="183" w:lineRule="auto"/>
        <w:tabs>
          <w:tab w:leader="none" w:pos="660" w:val="left"/>
        </w:tabs>
        <w:numPr>
          <w:ilvl w:val="0"/>
          <w:numId w:val="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our need to construct a processing facility, gathering and transportation system and power infrastructure in order to process and sell industrial gases which we plan to produce;</w:t>
      </w:r>
    </w:p>
    <w:p>
      <w:pPr>
        <w:spacing w:after="0" w:line="197" w:lineRule="exact"/>
        <w:rPr>
          <w:rFonts w:ascii="Times New Roman" w:cs="Times New Roman" w:eastAsia="Times New Roman" w:hAnsi="Times New Roman"/>
          <w:sz w:val="34"/>
          <w:szCs w:val="34"/>
          <w:color w:val="auto"/>
          <w:vertAlign w:val="subscript"/>
        </w:rPr>
      </w:pPr>
    </w:p>
    <w:p>
      <w:pPr>
        <w:ind w:left="66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officers and directors beneficially own approximately 38 percent of our common stock and that their interests may be different from other stockholders;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continued involvement of our present management;</w:t>
      </w:r>
    </w:p>
    <w:p>
      <w:pPr>
        <w:spacing w:after="0" w:line="222"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and possible recessions caused thereby (including as a result of changes in supply or demand, inflation and interest rates or global conflicts, such as the current conflicts in the Ukraine and Israel);</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pandemics on our operations, properties, the market for our industrial gas, oil and natural gas;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governmental proceedings which could result in material adverse consequences, including judgments or settlements;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effects of our governing documents and Delaware law;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disclosed below under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risk factors should be carefully considered in evaluating the information in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Industrial Gas, Oil and Natural Gas Industries and Our Business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complete future acquisitions, conduct our operations, and fund our business, and our ability to obtain the necessary funding is uncertain.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funding to complete future potential acquisitions and will be required to raise additional funds through public or private debt or equity financing or other various means to fund our operations and complete workovers and acquire assets. In such a case, adequate funds may not be available when needed or may not be available on favorable terms. If we need to raise additional funds in the future by issuing equity securities, (including pursuant to our purchase agreement with Roth Principal Investments), dilution to existing stockholders will result, and such securities may have rights, preferences, and privileges senior to those of our common stock. If funding is insufficient at any time in the future and we are unable to generate sufficient revenue from new business arrangements, to complete future acquisitions or operations, our results of operations and the value of our securities could be adversely affected.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due to the nature of our business, i.e., that rates of production generally decline over time as oil and gas reserves and industrial gas resources are depleted, if we are unable to acquire additional properties and/or develop our reserves or resources, either because we are unable to raise sufficient funding for such development activities, or otherwise, or in the event we are unable to acquire additional properties, we believe that our revenues will continue to decline over time. Furthermore, in the event we are unable to raise additional required funding in the future, we will not be able to participate in the drilling of additional wells, will not be able to complete other drilling and/or workover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were to happen, we may be forced to scale back our business plan which could result in the value of our outstanding securities declining in value.</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Industrial gas, oil, natural gas liquids (NGL) and natural gas prices, are volatile and declines in the prices of such commodities have in the past, and will continue in the future to, adversely affect our business, financial condition or results of operations, and our ability to meet our capital expenditure obligations or targets and financial commitments.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price of industrial gas and oil and, to a lesser extent, natural gas and NGLs, heavily influences our revenue, profitability, cash flows, liquidity, access to capital, present value and quality of our reserves, the nature and scale of our operations, and our future rate of growth. Industrial gas, oil, NGL, and natural gas are commodities and, therefore, their prices are subject to wide fluctuations in response to relatively minor changes in supply and demand. In recent years, the markets for industrial gas, oil and natural gas have been volatile. These markets will likely continue to be volatile in the future. Further, oil prices and natural gas prices do not necessarily fluctuate in direct relation to each other. The price of crude oil has experienced significant volatility over the last five years, with the price of a barrel of oil dropping below $20 during the early part of 2020, due in part to reduced global demand stemming from the global COVID-19 outbreak, and then surging over $125 a barrel in early March 2022, following Russia’s invasion of Ukraine, before more recently trading around $70-$80 a barrel. A prolonged period of low market prices for oil and natural gas, or further declines in the market prices for oil and natural gas, will likely result in capital expenditures being further curtailed and will adversely affect our business, financial condition and liquidity. Additionally, lower oil and natural gas prices have, and may in the future, cause, a decline in our stock price. The below table highlights the recent volatility in oil and gas prices by summarizing the high and low daily NYMEX WTI oil spot price and daily NYMEX natural gas Henry Hub spot price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Daily NYMEX WTI</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Daily NYMEX natural</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gas Henry Hub spot price (per</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oil spot price (per Bbl)</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6"/>
              </w:rPr>
              <w:t>Mmbtu)</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8"/>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Low</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645"/>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Decline in the prices we receive for our oil and natural gas can also adversely affect our ability to finance capital expenditures, make acquisitions, raise capital and satisfy our financial obligations. In addition, declines in prices can reduce the amount of industrial gas, oil and natural gas that we can produce economically and the estimated future cash flow from that production and, as a result, adversely affect the quantity and present value of our proved reserves. Among other things, a reduction in the amount or present value of our reserves can limit the capital available to us, and the availability of other sources of capital likely will be based to a significant degree on the estimated quantity and value of the reserves.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above, industrial gas, oil, NGLs, and natural gas are commodities and, therefore, their prices are subject to wide fluctuations in response to relatively minor changes in supply and demand. Historically, the commodities market has been volatile. An extended period of continued lower prices, or additional price declines, will have further adverse effects on us. The prices we receive for any future production and levels of such production, will continue to depend on numerous factors, including the following:</w:t>
      </w:r>
    </w:p>
    <w:p>
      <w:pPr>
        <w:spacing w:after="0" w:line="181" w:lineRule="exact"/>
        <w:rPr>
          <w:sz w:val="20"/>
          <w:szCs w:val="20"/>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and foreign demand and supply of industrial gas, oil, NGLs, and natural gas;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availability of competitors’ supply of industrial gas, oil, NGLs, and natural gas;</w:t>
      </w:r>
    </w:p>
    <w:p>
      <w:pPr>
        <w:spacing w:after="0" w:line="222"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the exporting countries or organizations such as Organization of Petroleum Exporting Countries, and state-controlled companies relating to price and production controls;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of industrial gas, oil, NGLs, and natural gas;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dollar exchange rates on industrial gas, oil, NGLs, and natural gas prices and interest rates and inflation;</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of industrial gas, oil, NGLs, and natural gas futures contracts;</w:t>
      </w:r>
    </w:p>
    <w:p>
      <w:pPr>
        <w:spacing w:after="0" w:line="222"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localized supply and demand fundamentals, including the availability, proximity, and capacity of gathering and transportation systems for natural gas;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pipeline, other transportation and refining capacity;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availability of alternative fuel sources;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or perceived threat, or results, of viral pandemics, for example, as previously experienced with the COVID-19 pandemic;</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222"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or affecting industrial gas, oil, NGLs, and natural gas producing regions, including the Middle East and South America, and the conflicts in Ukraine and Israel;</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threat of terrorism and the impact of military action and civil unrest;</w:t>
      </w:r>
    </w:p>
    <w:p>
      <w:pPr>
        <w:spacing w:after="0" w:line="222"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pressure on, and legislative and regulatory interest within, federal, state, and local governments to stop, significantly limit, or regulate hydraulic fracturing activities;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industrial gas, oil, NGL, and natural gas inventories and exploration and production activity;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exports from the United States of industrial gas, oil, and liquefied natural gas;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efforts;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and industrial gas consumption;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decline in industrial gas, oil, NGL, or natural gas prices will reduce not only our revenue but also the quantity of production that can be produced economically. Should industrial gas, oil, natural gas and prices decline in the future, our operated wells, may be forced to be shut-in, and exploration and development plans for prospects and exploration or development activities may need to be postponed or abandoned. As a result, we may have to make substantial downward adjustments to our estimated proved reserves or industrial gas resources, each of which would have a material adverse effect on our business, financial condition, and results of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have in the past been, and could in the future be, disrupted by natural or human causes beyond its control.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disruption from natural or human causes beyond its control, including risks from hurricanes, severe storms, floods, lightning strikes, heat waves, other forms of severe weather, wildfires, ambient temperature increases, sea level rise, war, accidents, civil unrest, political events, fires, earthquakes, system failures, cyber threats, terrorist acts and epidemic or pandemic diseases such as the COVID-19 pandemic, some of which may be impacted by climate change and any of which could result in suspension of operations or harm to people or the natural environment. Any of the above events could have a future material adverse effect on the Company’s results of operations or financial condition.</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future value and resources associated with our industrial gas development are unknown and the Company may never realize the value of any resources.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reserves or resources have been assigned in connection with our industrial gas interests to date, given their early stage of development. The future value of the Company is therefore dependent on the success or otherwise of drilling and development activities, which are principally directed toward the further exploration, appraisal and development of its assets in Montana, and construction of an industrial gas processing facility. Exploration, appraisal and development of industrial gas resources are speculative and involve a significant degree of risk. There is no guarantee that exploration or appraisal of our industrial gas interests will lead to a commercial discovery or, if there is a commercial discovery, that the Company will be able to realize the value of such resources as intended. If at any stage the Company is precluded from pursuing its exploration and development programs, or construction of a processing facility, or such programs are otherwise not continued, the Company’s business, financial condition and/or results of operations and, accordingly, the price of the Company’s shares, is likely to be materially adversely affected. Industrial gas exploration involves a high degree of risk and there is no assurance that expenditures made for future exploration or development activities will result in discoveries reserves that are commercially or economically viable.</w:t>
      </w:r>
    </w:p>
    <w:p>
      <w:pPr>
        <w:spacing w:after="0" w:line="18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industrial gas properties are in the exploration stage; such properties may never yield commercial quantities of industrial gas; and the Company may not be able to commercially extract them, if present.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industrial gas properties are in the exploration stage only. The Company has never had any material interest in industrial gas producing properties. There is no assurance that commercial quantities will be discovered at any of the properties or any future properties, nor is there any assurance that the exploration or development programs will yield any positive results. Even if commercial quantities of industrial gas are discovered, there can be no assurance that any development will result in profitable production. Factors which may limit the Company’s ability to produce include, but are not limited to, commodity prices, availability of additional capital and financing and the nature of any industrial gas deposits.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industrial gas, oil, natural gas and NGL operations are subject to environmental, legislative and regulatory initiatives that can materially adversely affect the timing and cost of operations and the demand for industrial gas, crude oil, natural gas, and NGLs.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laws and regulations relating to the protection of human health and safety, the environment and natural resources. These laws and regulations can restrict or impact our business activities in many ways including, but not limited to the following:</w:t>
      </w:r>
    </w:p>
    <w:p>
      <w:pPr>
        <w:spacing w:after="0" w:line="177" w:lineRule="exact"/>
        <w:rPr>
          <w:sz w:val="20"/>
          <w:szCs w:val="20"/>
          <w:color w:val="auto"/>
        </w:rPr>
      </w:pPr>
    </w:p>
    <w:p>
      <w:pPr>
        <w:ind w:left="340" w:hanging="333"/>
        <w:spacing w:after="0" w:line="28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installation of pollution-control equipment or otherwise restricting the handling or disposal of waste and other substances associated with operations;</w:t>
      </w:r>
    </w:p>
    <w:p>
      <w:pPr>
        <w:spacing w:after="0" w:line="188"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prohibiting construction activities in sensitive areas, such as wetlands, coastal regions or areas that contain endangered or threatened species and/or species of special statewide concern or their habitats;</w:t>
      </w:r>
    </w:p>
    <w:p>
      <w:pPr>
        <w:spacing w:after="0" w:line="18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investigatory and remedial actions to address pollution caused by our operations or attributable to former operations;</w:t>
      </w:r>
    </w:p>
    <w:p>
      <w:pPr>
        <w:spacing w:after="0" w:line="249"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noise, lighting, visual impact, odor and/or dust mitigation, setbacks, landscaping, fencing, and other measures;</w:t>
      </w:r>
    </w:p>
    <w:p>
      <w:pPr>
        <w:spacing w:after="0" w:line="249"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certain equipment or areas to a limited set of employees or contractors who have proper certification or permits to conduct work (e.g., confined space entry and process safety maintenance requirements); and</w:t>
      </w:r>
    </w:p>
    <w:p>
      <w:pPr>
        <w:spacing w:after="0" w:line="18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even prohibiting water use based upon availability, impacts or other factors.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comply with these laws and regulations may trigger a variety of administrative, civil and criminal enforcement measures, including the assessment of monetary penalties, the imposition of remedial or restoration obligations, and the issuance of orders enjoining future operations or imposing additional compliance requirements. Certain environmental statutes impose strict, joint and several liability for costs required to clean up and restore sites where hazardous substances, hydrocarbons or wastes have been disposed or otherwise released. Moreover, local restrictions, such as state or local moratoria, city ordinances, zoning laws and traffic regulations, may restrict or prohibit the execution of operational plans. In addition, third parties, such as neighboring landowners, may file claims alleging property damage, nuisance or personal injury arising from our operations or from the release of hazardous substances, hydrocarbons or other waste products into the environment.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trend in environmental regulation is to place more restrictions and limitations on activities that may affect the environment. We monitor developments at the federal, state and local levels to keep informed of actions pertaining to future regulatory requirements that might be imposed in order to mitigate the costs of compliance with any such requirements. We also monitor industry groups that help formulate recommendations for addressing existing or future regulations and that share best practices and lessons learned in relation to pollution prevention and incident investigations.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cannot reasonably predict what applicable laws, regulations or guidance may eventually be adopted with respect to our operations or the ultimate cost to comply with such requirements. It is also possible that such regulations, or our requirement to comply with such regulations, could have a material adverse effect on our operations, negatively affect our margins, and/or force us to curtail certain business operations.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industrial gas operations will require us to obtain licenses and permits which may not be obtained, may be delayed, or may limit our ability to undertake exploration, production and post gas processing injection activities.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industrial gas operations of the Company will require us to obtain licenses for operating, permits, and in some cases, renewals of existing licenses and permits from government agencies. There can be no assurances that the Company will attain all permits and licenses necessary to achieve profitable production of industrial gas operations in the future. Further, the ability of the Company to obtain, sustain or renew any such licenses and permits on acceptable terms is subject to changes in regulations and policies and to the discretion of the applicable authorities or other governmental agencies.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industrial gas operations are subject to risks and hazards which may not be covered by insurance.</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industrial gas operations are subject to a number of risks and hazards generally, including adverse environmental conditions, accidents, mechanical failures, labor shortages, unusual or unexpected geological conditions, ground or slope failures, cave-ins, changes in the regulatory environment and natural phenomena such as inclement weather conditions, floods and earthquakes. Such occurrences could result in damage to our properties and/or facilities, personal injury or death, environmental damage to the properties, or delays in exploration, development and production activities, monetary losses and possible legal liability. Although the Company maintains insurance to protect against certain risks in such amounts as it considers reasonable, its insurance will not cover all the potential risks associated with our operations. The Company may also be unable to maintain insurance to cover these risks at reasonable costs. Insurance coverage may not continue to be available or may not be adequate to cover any resulting liability. These events and limits to insurability may result in significant costs that could have a material adverse effect on our financial performance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ability to locate and commercially extract industrial gas.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future value of the Company will depend in part on our ability to find and develop, produce, process and transport industrial gas resources that are economically recoverable within the Kevin Dome Structure in Toole County, Montana. The circumstances in which a discovered resource accumulation becomes or remains commercially viable depends on a number of factors. These include the particular attributes of the deposit, such as size, depth concentration, development cost and proximity to infrastructure as well as key external factors such as industrial gas supply and demand. This, along with other factors such as maintaining title to licenses, leases and permits, successful design, construction, commissioning and operating of wells and processing facilities may result in projects not being developed, or operations becoming unprofitable. Exploration involves activities and drilling operations which may not generate a positive return on investment. This may arise from dry wells, but also from wells that are productive but do not produce sufficient revenues to return a profit after accounting for drilling, operating and other associated costs. The outcome of any drilling program may be dependent on matters which include the resources composition, the flow rate and the rate of any decrease in pressure as the gas flows to the surface. These matters cannot be known until the Company undertakes drilling and production testing programs. The production from successful wells may also be impacted by various operating conditions, including insufficient storage or transportation capacity, or other geological and mechanical conditions. In addition, managing drilling hazards or environmental damage and pollution caused by exploration and development operations could greatly increase the associated cost and profitability of individual wells. The future exploration activities of the Company may be affected by a range of factors including geological conditions, limitations on activities due to seasonal weather patterns, unanticipated operational and technical difficulties, industrial and environmental accidents, landholder disputes, changing government regulations and many other factors beyond the control of the Company.</w:t>
      </w:r>
    </w:p>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construction of our planned processing facility, gathering and transportation system, and power infrastructure is subject to significant risks that could increase costs, delay operations, or prevent completion.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execute our business plan depends on the successful construction and commissioning of new processing, gathering, transportation, and power infrastructure. These projects are complex and subject to risks beyond our control, including permitting and regulatory approvals, supply chain disruptions, labor availability and productivity, contractor performance, design or engineering changes, adverse weather conditions, utility interconnection delays, equipment delivery delays, and unanticipated site or subsurface conditions. Inflationary pressures, changes in interest rates, or increases in material, labor, or energy costs could materially increase capital expenditures beyond current estimates. Delays or cost overruns could defer the commencement of commercial operations, reduce expected returns, require additional financing on unfavorable terms, or result in the impairment of capitalized costs.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exploration costs of the Company are based on certain assumptions with respect to the method and timing of exploration. By their nature, these estimates and assumptions are subject to significant uncertainties and, accordingly, the actual costs may materially differ from these estimates and assumptions. Accordingly, no assurance can be given that the cost estimates and the underlying assumptions will be realized in practice, which may materially and adversely affect the Company’s results of operations. Industrial gas exploration involves significant risk because it is unknown whether wells to be drilled will contain commercially economic quantities of industrial gas to develop into producing wells. As such, there can be no assurance that existing or future exploration programs will result in discovery of commercially viable resources. If there are resources located, there is no guarantee they can be commercially produced and processed.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never had any industrial gas producing properties and such properties may not result in profitable production.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industrial gas interests are in the exploration stage only. The Company has never had any material interest in industrial gas producing properties. Even with the application of the best science and technology, there is no assurance that commercial quantities will be discovered at any of the Company's current properties or any properties the Company may acquire in the future, nor is there any assurance that the exploration or development programs of the Company will yield any positive results. The future development of any properties found to be economically feasible will require the construction and operation of wells and related infrastructure. Even if commercial quantities of industrial gas are discovered, there can be no assurance that any property of the Company will ever be brought to a stage where it can profitably be produced thereon. Factors which may limit the ability of the Company to produce industrial gas from its properties include, but are not limited to, commodity prices, availability of additional capital and financing and the nature of any resource deposits. It is common in exploratory operations to experience unexpected costs, problems and delays during construction and development. In addition, delays in the early stages of production often occur. Accordingly, there cannot be any assurance that activities will result in profitable industrial gas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industrial gas drilling risks.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industrial gas exploration and development activities are dependent on the availability of drilling rigs and related equipment in the Kevin Dome Structure in Toole County, Montana. Increases in exploration activities could result in higher demand and limited availability for some types of drilling rigs and equipment in certain areas, which may result in delays to the Company’s planned exploration and development activities.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may encounter hazards inherent in drilling activities. Examples of such hazards include unusual or unexpected formations, abnormal pressures or rock properties, adverse weather conditions, mechanical difficulties, conditions which could result in damage to plant or equipment or shortages or delays in the delivery of rigs and/or other equipment. Drilling may result in wells that, or which encounter resources, that may not achieve economically viable results.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the Company intends to take adequate precautions to minimize risks associated with drilling activities, there can be no guarantee that the Company will not experience one or more material incidents during drilling activities that may have an adverse impact on the operating and financial performances of the Company, including costs associated with control of well operation, recovery of plant and equipment, environmental rectification and compensation along with delays and other impacts on anticipated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or unwilling to develop commercially viable industrial gas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 long-term basis, in order for the Company’s industrial gas operations to be successful, the Company must explore, develop produce, process and dispose of post gas-processing waste materials, or acquire interests in producing industrial gas properties. Our success depends on our ability to locate, identify, and acquire prospective acreage and productive industrial gas property interests, find markets for such properties, and effectively distribute the industrial gas into those markets. The development activities may not be economically viable because of unproductive properties, as well as properties that are productive but do not generate sufficient revenue to return a profit. Investing in a property does not ensure that the investment will be profitable since profitability depends on the cost of drilling and operating any wells on the property may exceed the value of industrial gas extracted from such wells. In addition, drilling hazards or environmental damage could increase the cost of operating any property. If the developmental costs exceed the Company’s estimate or if the development efforts of the Company do not produce results which meet our expectations, such efforts may not be commercially viable.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numerous risks associated with estimating industrial gas resources.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reserves or resources have been assigned in connection with the Company’s industrial gas interests to date, given their early stage of development. The future value of the Company’s industrial gas interests, if any, is therefore dependent on the success of our activities, which are principally directed toward the future exploration, appraisal and development of our industrial gas assets, and potential acquisition of property interests in the future. Estimating industrial gas volumes is subject to significant uncertainties associated with technical data and the interpretation of that data, future commodity prices, and development and operating costs. There can be no guarantee that the Company will successfully convert its properties into known resources or reserves and produce such estimated volume, if any. Estimates may alter significantly or become more uncertain when new information becomes available due to, for example, additional drilling or production tests over the life of the field. As estimates change, development and production plans may also vary. Downward revision of volume estimates may adversely affect the Company’s operational or financial performance.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Industrial gas volume estimates are expressions of judgment based on knowledge, experience and industry practice. These estimates are imprecise and depend to some extent on interpretations, which may ultimately prove to be inaccurate and require adjustment or, even if valid when originally calculated, may alter significantly when new information or techniques become available. As further information becomes available through additional drilling and analysis the estimates are likely to change. Any adjustments to volume could affect the Company’s exploration and development plans which may, in turn, affect the Company’s performance. The process of estimating industrial gas resources is complex and requires significant decisions and assumptions to be made in evaluating the reliability of available geological, geophysical, engineering, and economic data for each property. Different engineers may make different estimates of resources, cash flows, or other variables based on the same available data.</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Estimates include numerous assumptions relating to operating conditions and economic factors, including, for example, prices at which recovered industrial gas can be sold, future operating costs, costs associated with operations on producing wells to restore or increase production, and prevailing environment conditions associated with drilling.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associated with its current lack of distribution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Company intends to partner with or sell to major industrial gas companies, the Company’s strategy is to become a fully integrated industrial gas developer and processor and to sell directly to a limited number of major distributors and end-users in order to capture higher margins on its products. The Company currently does not have any formal agreements in place for accomplishing these strategic objectives, and the associated costs of and estimated timeline for the completion of these strategic objectives will not be able to be determined until such time that appraisal wells have been drilled and feasibility studies have been completed. Although the Company intends to enter into such formal agreements in the future, they may never be entered into. The absence of formal agreements could adversely affect the oversight and operations of any arrangement with these major industrial gas companies, major distributors and end-users, and the lack of clarity and specifically defined roles could lead to a strain on, or breakdown of, the working relationships between the Company and any of these major industrial gas companies, major distributors or end-users. Furthermore, in the event of a dispute prior to entry into formal agreements, it will not be immediately clear what recourse each party has against the other, if 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industrial gas production and margins thereon, if any, will be subject to changing prices.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possible future industrial gas revenues may be derived from royalties gained from potential joint ventures or other arrangements. Consequently, the Company’s potential future earnings will likely be closely related to the market prices of industrial gas. Industrial gas prices fluctuate and are affected by numerous industry factors including global and regional supply and demand for the resource, forward selling by producers, production cost levels in major producing regions and macroeconomic factors, such as inflation, interest rates, currency exchange rates. If prices of industrial gas were to fall below the costs of production and remain at such a level for any sustained period, the Company would experience losses and could have to curtail or suspend some or all of its proposed activities. In such circumstances, the Company would also have to assess the economic impact of any sustained lower commodity prices on recoverability of its industrial gas investment.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industrial gas operations will be subject to gas processing and transportation costs and risks.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Disruption in, or increased costs of gas processing and transportation services could make industrial gas a less competitive product or could make the Company’s future production, if any, less competitive than other sources. The industry depends on electricity and fuel gas to process gas, and trucking, ocean-going vessels, pipeline facilities, and barge transportation to deliver shipment. Gas processing and transportation costs are a significant component of the total operating cost. Disruptions of gas processing and transportation services due to shortages, weather problems, strikes, delays, lockouts, or other events beyond the control of the Company could temporarily impair the ability to supply industrial gas to customers and may result in lost sales. In addition, increases in gas processing and transportation costs could adversely affect profitability.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industrial gas exploration and production activities will be subject to technological risks.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industrial gas industry is characterized by rapid and significant technological advancements and introductions of new products and services using new technology. Other companies may have greater financial, technical, and personnel resources that allow them to enjoy technological advantages and may in the future allow them to implement new technologies before the Company does. There can be no assurance that the Company will be able to respond to such competitive pressures and implement such technologies on a timely basis or at an acceptable cost. If the Company is unable to use the most advanced commercially available technology in its business, its financial condition and results of operations could be materially adversely affected.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were previously adversely affected by the COVID-19 pandemic and may be adversely affected by other similar outbreaks.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COVID-19 pandemic and falling oil and gas prices, operators responded by significantly decreasing drilling and completion activity and shutting in or curtailing production from a significant number of producing wells, which had a material adverse effect on our operations in the region. Future adverse public health developments, including voluntary and mandatory quarantines, travel restrictions, and other restrictions, could similarly have a material adverse effect on our operations, and those of our subcontractors, customers, and suppliers, and result in delays or disruptions and/or temporary suspensions of operations. Other contagious diseases in the human population could have similar adverse effects.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Declining general economic, business or industry conditions have, and will continue to have, a material adverse effect on our results of operations, liquidity, and financial condition, and are expected to continue having a material adverse effect for the foreseeable future.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Concerns over global economic conditions, the threat of pandemic diseases and the results thereof, energy costs, geopolitical issues, tariffs, trade wars, wars, the value of the U.S. dollar, changing inflation and interest rates, the availability and cost of credit have contributed to increased economic uncertainty and diminished expectations for the global economy. These factors, combined with volatile prices of industrial gas, oil and natural gas, declining business and consumer confidence, and increased unemployment, may result in an economic slowdown and/or a recession, which could expand to a global depression. Concerns about global economic growth have had a significant adverse impact on global financial markets and commodity prices and are expected to continue having a material adverse effect for the foreseeable future. If the economic climate in the United States or abroad continues to deteriorate, demand for petroleum products could diminish, which could further impact the price at which we can sell industrial gas, oil, natural gas, and natural gas liquids, and/or affect the ability of our vendors, suppliers and customers to continue operations, and ultimately adversely impact our results of operations, liquidity and financial condition. In addition, a decline in consumer confidence or changing patterns in the availability and use of disposable income by consumers can negatively affect the demand for oil and gas and as a result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could be disrupted by natural or human causes beyond its control.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disruption from natural or human causes beyond its control, including risks from hurricanes, severe storms, floods, lightning strikes, heat waves, other forms of severe weather, wildfires, ambient temperature increases, sea level rise, war, accidents, civil unrest, political events, fires, earthquakes, system failures, cyber threats, terrorist acts and epidemic or pandemic diseases such as the COVID-19 pandemic, some of which may be impacted by climate change and any of which could result in suspension of operations or harm to people or the natural environment. Any of the above events could have a future material adverse effect on the Company’s results of operations or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may affect our access to capital and/or increase the costs of such capital.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economic conditions continue to be volatile and uncertain due to, among other things, consumer confidence in future economic conditions, fears of recession, application of tariffs and trade wars, the price of energy, fluctuating interest rates and inflation, the availability and cost of consumer credit, the availability and timing of government stimulus programs, levels of unemployment, and tax rates. These conditions remain unpredictable and create uncertainties about our ability to raise capital in the future at commercially acceptable terms. In the event required capital becomes unavailable in the future, or more costly, it could have a material adverse effect on our business, results of operations, and financial condition.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of industrial gas, oil and natural gas properties involves substantial risks that may result in a total loss of investment.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business of exploring for, working over and developing industrial gas, natural gas and oil properties involves a high degree of business and financial risk, and thus a significant risk of loss of initial investment that even a combination of experience, knowledge and careful evaluation may not be able to overcome. The cost and timing of drilling, workover completing and operating wells is often uncertain. Factors which can delay or prevent drilling or production, or otherwise impact expected results, include but are not limited to:</w:t>
      </w:r>
    </w:p>
    <w:p>
      <w:pPr>
        <w:spacing w:after="0" w:line="181" w:lineRule="exact"/>
        <w:rPr>
          <w:sz w:val="20"/>
          <w:szCs w:val="20"/>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required permits from governmental authorities;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limitations on, easements from landowners;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pressure or irregularities in geologic formations;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problems;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blowouts, cratering, pollution, spills and other environmental risks or accidents;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 issuance of local drilling restrictions or moratoria;</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commodity prices;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ruptures; and</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or high cost of equipment, field services and labor.</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 productive well may become uneconomic in the event unusual quantities of water or other non-commercial substances are encountered in the well bore that impair or prevent production. We may participate in wells that are or become unproductive or, though productive, do not produce in economic quantities. In addition, even commercial wells can produce less, or have higher costs, than we projected.</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addition, initial 24-hour or other limited-duration production rates announced regarding our industrial gas, oil and natural gas properties are not necessarily indicative of future production rates.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Dry holes and other unsuccessful or uneconomic exploration, exploitation and development activities can adversely affect our cash flow, profitability and financial condition, and can adversely affect our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price differential and oil price differentials in other properties in Wyoming and Montana could have adverse impacts on our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Crude oil produced from our properties in Wyoming and Montana realize lower prices from those prices associated with West Texas Intermediate Crude (“WTI”). This discount, or differential, which is due in part to transportation costs, may widen in the future, which would reduce the price we receive for our Wyoming and Montana production. We may also be adversely affected by widening differentials in other areas of operation. This makes it more likely that a downturn in oil prices will result in a ceiling limitation write-down of our oil and natural gas properties. A widening of the differential would reduce the cash flow from our Wyoming and Montana properties and adversely impact our ability to participate fully in drilling. Our production in other areas could also be affected by adverse changes in differentials. In addition, changes in differentials could make it more difficult for us to effectively hedge our exposure to changes in commodity prices.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costs could require new capital that may not be available.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industrial gas and oil and natural gas businesses hold the potential opportunity for significant returns on investment, but achievement of such returns is subject to high risk. For example, initial results from one or more industrial gas, oil and natural gas programs could be marginal but warrant investing in more wells. Dry holes, over-budget exploration costs, low commodity prices, or any combination of these or other adverse factors, could result in production revenues falling below projections, thus adversely impacting cash expected to be available for a continued work program, and a reduction in cash available for investment in other programs. These types of events could require a reassessment of priorities and therefore potential re-allocations of existing capital and could also mandate obtaining new capital. There can be no assurance that we will be able to complete any financing transaction on acceptable terms.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may limit our opportunities in the industrial gas, oil and natural gas business.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industrial gas and oil and natural gas businesses are very competitive. We compete with many public and private exploration and development companies in finding investment opportunities. We also compete with industrial gas and oil and natural gas operators in acquiring acreage positions. Our principal competitors are small to mid-size companies with in-house industrial gas and/or petroleum exploration and drilling expertise. Many of our competitors possess and employ financial, technical and personnel resources substantially greater than ours. They also may be willing and able to pay more for industrial gas, oil and natural gas properties than our financial resources permit, and may be able to define, evaluate, bid for and purchase a greater number of properties. In addition, there is substantial competition in the industrial gas, oil and natural gas industry for investment capital, and we may not be able to compete successfully in raising additional capital if needed.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exploitation of shale formations is subject to risks related to horizontal drilling and completion techniques.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Operations in shale formations in many cases involve utilizing the latest drilling and completion techniques in an effort to generate the highest possible cumulative recoveries and therefore generate the highest possible returns. Risks that are encountered while drilling include, but are not limited to, landing the well bore in the desired drilling zone, staying in the zone while drilling horizontally through the shale formation, running casing the entire length of the well bore (as applicable to the formation) and being able to run tools and other equipment consistently through the horizontal well bore.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wells that are hydraulically fractured, completion risks include, but are not limited to, being able to fracture stimulate the planned number of fracture stimulation stages, and successfully cleaning out the well bore after completion of the final fracture stimulation stage. Ultimately, the success of these latest drilling and completion techniques can only be evaluated over time as more wells are drilled and production profiles are established over a sufficient period of time.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Costs for any individual well will vary due to a variety of factors. These wells are significantly more expensive than a typical onshore shallow conventional well. Accordingly, unsuccessful exploration or development activity affecting even a small number of wells could have a significant impact on our results of operations. Costs other than drilling and completion costs can also be significant for shale wells.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access to oil and natural gas markets is restricted, it could negatively impact our production and revenues. Securing access to takeaway capacity may be particularly difficult in less developed areas of Montana and Wyoming.</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conditions or limited availability of satisfactory industrial gas, oil and natural gas transportation arrangements may hinder our access to oil and natural gas markets or delay our production. The availability of a ready market for our industrial gas, oil and natural gas production depends on a number of factors, including the demand for and supply of oil and natural gas and the proximity of reserves to pipelines and other midstream facilities. The ability to market our production depends in substantial part on the availability and capacity of gathering systems, pipelines, rail transportation and processing facilities owned and operated by third parties. In particular, access to adequate gathering systems or pipeline or rail takeaway capacity is limited in Montana and Wyoming. In order to secure takeaway capacity and related services, we or our operating partners may be forced to enter into arrangements that are not as favorable to operators as those in other areas.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disruption of third-party facilities due to maintenance and/or weather could negatively impact our ability to market and deliver our products. The third parties’ control when or if such facilities are restored after disruption, and what prices will be charged for products. Federal and state regulation of industrial gas, oil and natural gas production and transportation, tax and energy policies, changes in supply and demand, pipeline pressures, damage to or destruction of pipelines and general economic conditions could adversely affect our ability to produce, gather and transport oil and natural gas.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replace reserves, we will not be able to sustain production.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operations depend on our ability to find, develop, and acquire industrial gas, crude oil, natural gas, and NGL reserves that are economically producible. Our properties produce crude oil, natural gas, and NGLs at a declining rate over time and are expected to produce industrial gas at a declining rate over time. In order to maintain current production rates, we must locate and develop or acquire new crude oil, natural gas, and NGL reserves to replace those being depleted by production and in the future will need to locate and develop or acquire new industrial gas reserves. Without successful drilling or acquisition activities, our reserves and production will decline over time. In addition, competition for industrial gas, crude oil and natural gas properties is intense, and many of our competitors have financial, technical, human, and other resources necessary to evaluate and integrate acquisitions that are substantially greater than those available to us.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growth strategy, we intend to make acquisitions. However, suitable acquisition candidates may not be available on terms and conditions we find acceptable, and acquisitions pose substantial risks to our business, financial condition and results of operations. In pursuing acquisitions, we compete with other companies, many of which have greater financial and other resources than we do. In the event we do complete an acquisition, its successful impact on our business will depend on a number of factors, many of which are beyond our control. These factors include the purchase price for the acquisition, future industrial gas, crude oil, natural gas, and NGL prices, the ability to reasonably estimate or assess the recoverable volumes of reserves, rates of future production and future net revenues attainable from reserves, future operating and capital costs, results of future exploration, exploitation, and development activities on the acquired properties, and future abandonment and possible future environmental or other liabilities. There are numerous uncertainties inherent in estimating quantities of proved industrial gas, oil and natural gas reserves, actual future production rates, and associated costs and potential liabilities with respect to prospective acquisition targets. Actual results may vary substantially from those assumed in the estimates. A customary review of subject properties will not necessarily reveal all existing or potential problems.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significant acquisitions can change the nature of our operations and business depending upon the character of the acquired properties if they have substantially different operating and geological characteristics or are in different geographic locations than our existing properties. To the extent that acquired properties are substantially different than our existing properties, our ability to efficiently realize the expected economic benefits of such transactions may be limited. If we are unable to integrate acquisitions successfully and realize anticipated economic, operational and other benefits in a timely manner, substantial costs and delays or other operational, technical or financial problems could result.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Integrating acquired businesses and properties involves a number of special risks. These risks include the possibility that management may be distracted from regular business concerns by the need to integrate operations and systems and that unforeseen difficulties can arise in integrating operations and systems and in retaining and assimilating employees. Any of these or other similar risks could lead to potential adverse short-term or long-term effects on our operating results and may cause us to not be able to realize any or all of the anticipated benefits of the acquisitions.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Many of our joint operating agreements contain provisions that may be subject to legal interpretation, including allocation of non-consent interests, complex payout calculations that impact the timing of reversionary interests, and the impact of joint interest audits.</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Substantially all of our oil and natural gas interests are subject to joint operating and similar agreements. Some of these agreements include payment provisions that are complex and subject to different interpretations and/or can be erroneously applied in particular situations.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Joint interest audits are a normal process in our business to ensure that operators adhere to standard industry practices in the billing of costs and expenses related to our oil and natural gas properties. However, the ultimate resolution of joint interest audits can extend over a long period of time in which we attempt to recover excessive amounts charged by the operator. Joint interest audits result in incremental costs for the audit services and we can incur substantial amounts of legal fees to resolve disputes with the operators of our properties.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estimated reserves are based on many assumptions that may turn out to be inaccurate. Any material inaccuracies in these reserve estimates or the relevant underlying assumptions will materially affect the quantity and present value of our reserves.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Oil and natural gas reserve reports are prepared by independent consultants to provide estimates of the quantities of hydrocarbons that can be economically recovered from proved properties, utilizing commodity prices for a trailing 12-month period and taking into account expected capital, operating and other expenditures. These reports also provide estimates of the future net present value of the reserves, which we use for internal planning purposes and for testing the carrying value of the properties on our balance sheet.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reserve data included in this Report represents estimates only. Estimating quantities of, and future cash flows from, proved oil and natural gas reserves is a complex process and not an exact science. It requires interpretations of available technical data and various estimates, including estimates based upon assumptions relating to economic factors, such as future production costs; ad valorem, severance and excise taxes; availability of capital; estimates of required capital expenditures, workover and remedial costs; and the assumed effect of governmental regulation. The assumptions underlying our estimates of our proved reserves could prove to be inaccurate, and any significant inaccuracy could materially affect, among other things, future estimates of the reserves, the economically recoverable quantities of oil and natural gas attributable to the properties, the classifications of reserves based on risk of recovery, and estimates of our future net cash flows.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December 31, 2025, 100% of our estimated proved reserves were developed producing. Estimation of proved undeveloped reserves and proved developed non-producing reserves is almost always based on analogy to existing wells, volumetric analysis or probabilistic methods, in contrast to the performance data used to estimate producing reserves. Recovery of proved undeveloped reserves requires significant capital expenditures and successful drilling operations.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present values referred to in this report represent the current market value of our estimated oil and natural gas reserves. The timing and success of the production and the expenses related to the development of oil and natural gas properties, each of which is subject to numerous risks and uncertainties, will affect the timing and amount of actual future net cash flows from our proved reserves and their present value. In addition, our PV-10 and standardized measure estimates are based on costs as of the date of the estimates and assume fixed commodity prices. Actual future prices and costs may be materially higher or lower than the prices and costs used in the estimate.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Further, the use of a 10% discount factor to calculate PV-10 and standardized measure are determined under generally accepted accounting standards in the U.S. These values do not necessarily represent fair value or reflect the most appropriate discount factor given actual interest rates and risks to which our business or the oil and natural gas industry in general are subject.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hedging activities have in the past and may in the future prevent us from benefiting fully from increases in oil and gas prices and may expose us to other risks, including counterparty risk.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use derivative instruments, typically fixed-rate swaps and costless collars, to manage price risk underlying our oil and natural gas production. We have in the past, and to the extent that we continue to engage in hedging activities to protect ourselves against commodity price declines, we may in the future, be prevented from fully realizing the benefits of increases in oil and/or gas prices above the prices established by our hedging contracts. Our hedging activities may expose us to the risk of financial loss in certain circumstances, including instances in which the counterparties to our hedging contracts fail to perform under the contracts. Our hedges have in the past and may in the future result in losses and reduce the amount of revenue we would otherwise obtain upon the sale of our oil and natural gas production and may also decrease our margins and net revenues.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actual future production may be significantly higher or lower than we estimate at the time we enter into derivative contracts for the relevant period. If the actual amount of production is higher than we estimated, we will have greater commodity price exposure than we intended. If the actual amount of production is lower than the notional amount that is subject to our derivative instruments, we might be forced to satisfy all or a portion of our derivative transactions without the benefit of the cash flow from our sale of the underlying physical commodity, resulting in a substantial diminution of our liquidity. As a result of these factors, our hedging activities may not be as effective as we intend in reducing the volatility of our cash flows, and in certain circumstances may actually increase the volatility of our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instruments also expose us to the risk of financial loss in some circumstances, including when:</w:t>
      </w:r>
    </w:p>
    <w:p>
      <w:pPr>
        <w:spacing w:after="0" w:line="223" w:lineRule="exact"/>
        <w:rPr>
          <w:sz w:val="20"/>
          <w:szCs w:val="20"/>
          <w:color w:val="auto"/>
        </w:rPr>
      </w:pPr>
    </w:p>
    <w:p>
      <w:pPr>
        <w:ind w:left="660" w:hanging="33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counter-party to the derivative instrument defaults on its contract obligations;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increase in the differential between the underlying price in the derivative instrument and actual prices received; or</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we take to monitor our derivative financial instruments do not detect and prevent transactions that are inconsistent with our risk management strategies.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depending on the type of derivative arrangements we enter into, the agreements could limit the benefit we would receive from increases in oil prices. It cannot be assumed that the hedging transactions we have entered into, or will enter into, will adequately protect us from fluctuations in commodity prices.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provides for statutory and regulatory requirements for derivative transactions, including crude oil and natural gas derivative transactions. Among other things, the Dodd-Frank Act provides for the creation of position limits for certain derivatives transactions, as well as requiring certain transactions to be cleared on exchanges for which cash collateral will be required. The Dodd-Frank Act requires the Commodity Futures and Trading Commission (the “CFTC”), the SEC and other regulators to promulgate rules and regulations implementing the Dodd-Frank Act.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CFTC has finalized other regulations implementing the Dodd-Frank Act’s provisions regarding trade reporting, margin, clearing and trade execution; however, some regulations remain to be finalized and it is not possible at this time to predict when the CFTC will adopt final rules. For example, the CFTC has re-proposed regulations setting position limits for certain futures and option contracts in the major energy markets and for swaps that are their economic equivalents. Certain bona fide hedging transactions are expected to be made exempt from these limits. Also, it is possible that under recently adopted margin rules, some registered swap dealers may require us to post initial and variation margins in connection with certain swaps not subject to central clearing.</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Dodd-Frank Act and any additional implementing regulations could significantly increase the cost of some commodity derivative contracts (including through requirements to post collateral, which could adversely affect our available liquidity), materially alter the terms of some commodity derivative contracts, limit our ability to trade some derivatives to hedge risks, reduce the availability of some derivatives to protect against risks we encounter and reduce our ability to monetize or restructure our existing commodity derivative contracts. If we reduce our use of derivatives as a consequence, our results of operations may become more volatile and our cash flows may be less predictable, which could adversely affect our ability to plan for and fund capital expenditures. Increased volatility may make us less attractive to certain types of investors. Finally, the Dodd-Frank Act was intended, in part, to reduce the volatility of oil and natural gas prices, which some legislators attributed to speculative trading in derivatives and commodity instruments related to oil and natural gas. If the implementing regulations result in lower commodity prices, our revenues could be adversely affected. Any of these consequences could adversely affect our business, financial condition and results of operations.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Increases in the differential between the ceiling value for oil and natural gas prices set forth in our commodity derivative contracts and commodity derivative collar contracts has in the past adversely affected and is anticipated to continue to adversely affect our business,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acreage must be drilled before lease expiration, generally within three to five years, in order to hold the acreage by production. In the highly competitive market for acreage, failure to drill sufficient wells in order to hold acreage will result in a substantial lease renewal cost, or if renewal is not feasible, the loss of our lease and prospective drilling opportunities.</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Unless production is established within the spacing units covering the undeveloped acres on which some of our potential drilling locations are identified, the leases for such acreage will expire. The costs to renew such leases may increase significantly, and we may not be able to renew such leases on commercially reasonable terms or at all. The risk that our leases may expire will generally increase when commodity prices fall, as lower prices may cause our operating partners to reduce the number of wells they drill. In addition, on certain portions of our acreage, third-party leases could become immediately effective if our leases expire. As such, our actual drilling activities may materially differ from our current expectations, which could adversely affect our business.</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producing properties are primarily located in Montana, Wyoming, Texas, and Oklahoma, making us vulnerable to risks associated with having operations concentrated in these geographic areas.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our operations are geographically concentrated in Montana, Wyoming, Texas, and Oklahoma, the success and profitability of our operations may be disproportionally exposed to the effect of regional events. These include, among others, regulatory issues, natural disasters and fluctuations in the prices of industrial gas, crude oil and natural gas produced from wells in the region and other regional supply and demand factors, including gathering, pipeline and other transportation capacity constraints, available rigs, equipment, oil field services, supplies, labor and infrastructure capacity. Any of these events has the potential to cause producing wells to be shut-in, delay operations and growth plans, decrease cash flows, increase operating and capital costs and prevent development of lease inventory before expiration. In addition, our operations may be adversely affected by seasonal weather and lease stipulations designed to protect wildlife, which can intensify competition for services, infrastructure and equipment during months when drilling is possible and may result in periodic shortages. Any of these risks could have a material adverse effect on our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may be insufficient to cover future liabilities.</w:t>
      </w:r>
    </w:p>
    <w:p>
      <w:pPr>
        <w:spacing w:after="0" w:line="2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business is currently focused on industrial gas and oil and natural gas exploration and development, and we also have potential exposure to general liability and property damage associated with the ownership of other corporate assets. We have obtained insurance policies for our industrial gas and oil and natural gas operations covering both operated and non-operated properties, as well as, policies covering corporate liabilities and damage to corporate assets.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would be liable for claims in excess of coverage and for any deductible provided for in the relevant policy. If uncovered liabilities are substantial, payment could adversely impact the Company’s cash on hand, resulting in possible curtailment of operations. Moreover, some liabilities are not insurable at a reasonable cost or at all.</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information technology systems, which are subject to disruption, damage, failure and risks associated with implementation and integration.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dependent upon information technology systems in the conduct of our operations. Our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cash flows, competitive position, financial condition or results of operations.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Improvements in, or new discoveries of alternative energy technologies could have a material adverse effect on our financial condition and results of operations.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our operations depend on the demand for oil and natural gas, any improvement in or new discoveries of alternative energy technologies (such as wind, solar, geothermal, fuel cells and biofuels) that increase the use of alternative forms of energy and reduce the demand for oil, gas and oil and gas related products could have a material adverse impact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due to advances in renewable fuels may lessen the demand for our products and negatively impact our profitability.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Alternatives to petroleum-based products and production methods are continually under development. For example, a number of automotive, industrial and power generation manufacturers are developing alternative clean power systems using fuel cells or clean-burning gaseous fuels that may address increasing worldwide energy costs, the long-term availability of petroleum reserves and environmental concerns, which if successful could lower the demand for oil and gas. If these non-petroleum-based products and oil alternatives continue to expand and gain broad acceptance such that the overall demand for oil and gas is decreased, it could have an adverse effect on our operations and the value of our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Permitting requirements could delay our ability to start or continue our operations.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Industrial gas, oil and natural gas projects are subject to extensive permitting requirements. Failure to timely obtain required permits to start operations at a project could cause delay and/or the failure of the project resulting in a potential write-off of the investments made.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 perception regarding us and/or our industry could have an adverse effect on our operations.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Negative public perception regarding us and/or our industry resulting from, among other things, concerns raised by advocacy groups about hydraulic fracturing, waste disposal, oil spills, seismic activity, climate change, explosions of natural gas transmission lines and the development and operation of pipelines and other midstream facilities may lead to increased regulatory scrutiny, which may, in turn, lead to new state and federal safety and environmental laws, regulations, guidelines and enforcement interpretations. Additionally, environmental groups, landowners, local groups and other advocates may oppose our operations through organized protests, attempts to block or sabotage our operations or those of our midstream transportation providers, intervene in regulatory or administrative proceedings involving our assets or those of our midstream transportation providers, or file lawsuits or other actions designed to prevent, disrupt or delay the development or operation of our assets and business or those of our midstream transportation providers. These actions may cause operational delays or restrictions, increased operating costs, additional regulatory burdens and increased risk of litigation.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Recently, activists concerned about the potential effects of climate change have directed their attention towards sources of funding for fossil-fuel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weather conditions adversely affect our ability to conduct drilling activities in some of the areas where we operate.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Industrial gas, oil and natural gas operations in Montana, Wyoming and Texas can be adversely affected by seasonal weather conditions. In Montana and Wyoming, drilling and other industrial gas, oil and natural gas activities sometimes cannot be conducted as effectively during the winter months, and this can materially increase our operating and capital costs. Texas operations are also subject to the risk of adverse weather events, including hurricanes.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of equipment, services and qualified personnel could reduce our cash flow and adversely affect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demand for qualified and experienced field personnel to drill wells and conduct field operations, geologists, geophysicists, engineers and other professionals in the industrial gas, oil and natural gas industry can fluctuate significantly, often in correlation with industrial gas, oil and natural gas prices and activity levels in new regions, causing periodic shortages. During periods of high industrial gas, oil and natural gas prices, the demand for drilling rigs and equipment tends to increase along with increased activity levels, and this may result in shortages of equipment. Higher industrial gas, oil and natural gas prices generally stimulate increased demand for equipment and services and subsequently often result in increased prices for drilling rigs, crews and associated supplies, oilfield equipment and services, and personnel in exploration, production and midstream operations. These types of shortages and subsequent price increases could significantly decrease our profit margin, cash flow and operating results and/or restrict or delay our ability to drill those wells and conduct those activities that we currently have planned and budgeted, causing us to miss our forecasts and projections.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oil and natural gas reserves are estimated and may not reflect the actual volumes of oil and natural gas we will receive, and significant inaccuracies in these reserve estimates or underlying assumptions will materially affect the quantities and present value of our reserves.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process of estimating accumulations of oil and natural gas is complex and is not exact, due to numerous inherent uncertainties. The process relies on interpretations of available geological, geophysical, engineering, and production data. The extent, quality, and reliability of this technical data can vary. The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181" w:lineRule="exact"/>
        <w:rPr>
          <w:sz w:val="20"/>
          <w:szCs w:val="20"/>
          <w:color w:val="auto"/>
        </w:rPr>
      </w:pPr>
    </w:p>
    <w:p>
      <w:pPr>
        <w:ind w:left="660" w:hanging="330"/>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quantity of available data;</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that data;</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persons preparing the estimate; and</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accuracy of any estimates of proved reserves generally increases with the length of the production history. Due to the limited production history of our properties, the estimates of future production associated with these properties may be subject to greater variance to actual production than would be the case with properties having a longer production history. As our wells produce over time and more data is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to our estimates could materially affect the quantities and present value of our reserves.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purchase industrial gas, oil and natural gas properties with liabilities or risks that we did not know about or that we did not assess correctly, and, as a result, we could be subject to liabilities that could adversely affect our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acquiring industrial gas, oil and natural gas properties, we estimate the reserves, future industrial gas, oil and natural gas prices, operating costs, potential environmental liabilities, and other factors relating to the properties. However, our review involves many assumptions and estimates, and their accuracy is inherently uncertain. As a result, we may not discover all existing or potential problems associated with the properties we buy. We may not become sufficiently familiar with the properties to assess fully their deficiencies and capabilities. We generally do not perform inspections on every well or property, and we may not be able to observe mechanical and environmental problems even when we conduct an inspection. The seller may not be willing or financially able to give us contractual protection against any identified problems, and we may decide to assume environmental and other liabilities in connection with the properties we acquire. If we acquire properties with risks or liabilities we did not know about or that we did not assess correctly, our business, financial condition, and results of operations could be adversely affected as we settle claims and incur cleanup costs related to these liabilities.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properties we acquire may be subject to liabilities or risks that we did not know about or that we did not assess correctly, and, as a result, we could be subject to liabilities that could adversely affect our results of operations as a result of such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written down, and may in the future be forced to further write-down, material portions of our assets due to low oil and natural gas prices.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full cost method of accounting is used for oil and gas acquisition, exploration, development and production activities. Under the full cost method, all costs associated with the acquisition, exploration, and development of oil and natural gas properties are capitalized and accumulated in a country-wide cost center. This includes any internal costs that are directly related to development and exploration activities, but does not include any costs related to production, general corporate overhead, or similar activities. Proceeds received from disposals are credited against accumulated cost, except when the sale represents a significant disposal of reserves, in which case a gain or loss is recognized. The sum of net capitalized costs and estimated future development and dismantlement costs for each cost center is depleted on the equivalent unit-of-production method, based on proved oil and natural gas reserves. Excluded from amounts subject to depreciation, depletion, and amortization are costs associated with unevaluated properties.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a quarterly ceiling test for our only oil and natural gas cost center, which is the United States. Under the full cost method, net capitalized costs are limited to the lower of (a) unamortized cost reduced by the related net deferred tax liability and asset retirement obligations, and (b) the cost center ceiling. The cost center ceiling is defined as the sum of (i) estimated future net revenue, discounted at 10% per annum, from proved reserves, based on unescalated costs, adjusted for contract provisions, any financial derivatives qualifying as accounting hedges and asset retirement obligations, and unescalated oil and natural gas prices during the period, (ii) the cost of properties not being amortized, and (iii) the lower of cost or market value of unproved properties included in the cost being amortized, less income tax effects related to tax assets directly attributable to the natural gas and crude oil properties. If the net book value reduced by the related net deferred income tax liability and asset retirement obligations exceeds the cost center ceiling limitation, a non-cash impairment charge is required in the period in which the impairment occurs.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Material write-downs or impairments of our oil and gas properties have in the past and may in the future have a material adverse effect on our assets and/or our financial condition, either of which may cause the value of our securities to decline in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limitations in all control systems and misstatements due to error or fraud that may occur and not be detected.</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ongoing internal control provisions of Section 404 of the Sarbanes-Oxley Act of 2002 require us to identify material weaknesses in internal control over financial reporting, which is a process to provide reasonable assurance regarding the reliability of financial reporting for external purposes in accordance with GAAP. Our management does not expect that our internal controls and disclosure controls, even assuming all material weaknesses and control deficiencies are remediated, will prevent all errors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no evaluation of controls can provide absolute assurance that all control issues and instances of fraud in our company have been detected. These inherent limitations include the realities that judgments in decision-making can be faulty and that breakdowns can occur because of simple errors or mistakes. Further, controls can be circumvented by individual acts of some persons, by collusion of two or more persons, or by management override of the controls. The design of any system of controls is also based in part upon certain assumptions about the likelihood of future events, and there can be no assurance that any design will succeed in achieving our stated goals under all potential future conditions. Over time, a control may be inadequate because of changes in conditions, such as growth of the Company or increased transaction volume, or the degree of compliance with the policies or procedures may deteriorate. Because of inherent limitations in a cost-effective control system, misstatements due to error or fraud may not be detected.</w:t>
      </w:r>
    </w:p>
    <w:p>
      <w:pPr>
        <w:spacing w:after="0" w:line="1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realize built in losses to offset future taxable income for U.S. federal income tax purposes is subject to limitation.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a corporation that undergoes an “ownership change” is subject to limitations on its ability to utilize its pre-change net operating losses (“NOLs”) and realized built in losses (“RBILS”) to offset future taxable income. In general, an ownership change occurs if the aggregate stock ownership of certain stockholders (generally 5% stockholders, applying certain look-through rules) increases by more than 50 percentage points over such stockholders’ lowest percentage ownership during the testing period (generally three years).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December 27, 2017, we paid down debt under our credit facility with APEG II with shares of our common stock, which represented a 49.3% ownership change in the Company. In addition, on January 5, 2022, we issued 19,905,736 shares of our common stock for the acquisition of assets, representing a then 81.0% ownership change in the Company. As a result of these transactions, our ability to use these NOLs and RBILS were significantly reduced.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Industrial gas, oil and natural gas operations are subject to environmental, legislative and regulatory initiatives that can materially adversely affect the timing and cost of operations and the demand for industrial gas, oil, natural gas, and NGLs.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laws and regulations relating to the protection of human health and safety, the environment and natural resources. These laws and regulations can restrict or impact our business activities in many ways including, but not limited to the following:</w:t>
      </w:r>
    </w:p>
    <w:p>
      <w:pPr>
        <w:spacing w:after="0" w:line="177" w:lineRule="exact"/>
        <w:rPr>
          <w:sz w:val="20"/>
          <w:szCs w:val="20"/>
          <w:color w:val="auto"/>
        </w:rPr>
      </w:pPr>
    </w:p>
    <w:p>
      <w:pPr>
        <w:ind w:left="660" w:hanging="330"/>
        <w:spacing w:after="0" w:line="28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installation of pollution-control equipment or otherwise restricting the handling or disposal of waste and other substances associated with operations;</w:t>
      </w:r>
    </w:p>
    <w:p>
      <w:pPr>
        <w:spacing w:after="0" w:line="18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prohibiting construction activities in sensitive areas, such as wetlands, coastal regions or areas that contain endangered or threatened species and/or species of special statewide concern or their habitats;</w:t>
      </w:r>
    </w:p>
    <w:p>
      <w:pPr>
        <w:spacing w:after="0" w:line="18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investigatory and remedial actions to address pollution caused by our operations or attributable to former operations;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noise, lighting, visual impact, odor and/or dust mitigation, setbacks, landscaping, fencing, and other measures;</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certain equipment or areas to a limited set of employees or contractors who have proper certification or permits to conduct work (e.g., confined space entry and process safety maintenance requirements); and</w:t>
      </w:r>
    </w:p>
    <w:p>
      <w:pPr>
        <w:spacing w:after="0" w:line="18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even prohibiting water use based upon availability, impacts or other factors.</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comply with these laws and regulations may trigger a variety of administrative, civil and criminal enforcement measures, including the assessment of monetary penalties, the imposition of remedial or restoration obligations, and the issuance of orders enjoining future operations or imposing additional compliance requirements. Certain environmental statutes impose strict, joint and several liability for costs required to clean up and restore sites where hazardous substances, hydrocarbons or wastes have been disposed or otherwise released. Moreover, local restrictions, such as state or local moratoria, city ordinances, zoning laws and traffic regulations, may restrict or prohibit the execution of operational plans. In addition, third parties, such as neighboring landowners, may file claims alleging property damage, nuisance or personal injury arising from our operations or from the release of hazardous substances, hydrocarbons or other waste products into the environment.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trend in environmental regulation is to place more restrictions and limitations on activities that may affect the environment. We monitor developments at the federal, state and local levels to keep informed of actions pertaining to future regulatory requirements that might be imposed in order to mitigate the costs of compliance with any such requirements. We also monitor industry groups that help formulate recommendations for addressing existing or future regulations and that share best practices and lessons learned in relation to pollution prevention and incident investigations.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Environmental Laws and Regulations</w:t>
      </w:r>
      <w:r>
        <w:rPr>
          <w:rFonts w:ascii="Times New Roman" w:cs="Times New Roman" w:eastAsia="Times New Roman" w:hAnsi="Times New Roman"/>
          <w:sz w:val="18"/>
          <w:szCs w:val="18"/>
          <w:color w:val="auto"/>
        </w:rPr>
        <w:t>” in Item 1 – Business in this Form 10-K for a discussion of the major environmental, health and safety laws and regulations that relate to our business. We believe, but cannot be certain, that we are in material compliance with these laws and regulations. We cannot reasonably predict what applicable laws, regulations or guidance may eventually be adopted with respect to our operations or the ultimate cost to comply with such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changes to U.S. tax laws, if adopted, could have an adverse effect on our business, financial condition, results of operations, and cash flows.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legislative proposals are made that would, if enacted, result in the elimination of the immediate deduction for intangible drilling and development costs, the elimination of the deduction from income for domestic production activities relating to oil and gas exploration and development, the repeal of the percentage depletion allowance for oil and gas properties, and an extension of the amortization period for certain geological and geophysical expenditures. Such changes, if adopted, or other similar changes that reduce or eliminate deductions currently available with respect to industrial gas, oil and gas exploration and development, could adversely affect our business, financial condition, results of operations, and cash flows.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ability to produce crude oil, natural gas, and associated liquids economically and in commercial quantities could be impaired if we are unable to acquire adequate supplies of water for our drilling operations and/or completions or are unable to dispose of or recycle the water we use at a reasonable cost and in accordance with applicable environmental rules.</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hydraulic fracturing process on which we and others in our industry depend to complete wells that will produce commercial quantities of crude oil, natural gas, and NGLs requires the use and disposal or recycling of significant quantities of water. Our inability to secure sufficient amounts of water, or to dispose of, or recycle the water used in our operations, could adversely impact our operations. Moreover, the imposition of new environmental initiatives and regulations could include restrictions on our ability to conduct certain operations such as hydraulic fracturing or disposal of wastes, including, but not limited to, produced water, drilling fluids, and other wastes associated with the exploration, development, or production of crude oil, natural gas, and NGLs.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Compliance with environmental regulations and permit requirements governing the withdrawal, storage, and use of surface water or groundwater necessary for hydraulic fracturing of wells may increase our operating costs and cause delays, interruptions, or termination of our operations, the extent of which cannot be predicted, all of which could have an adverse effect on our operations and financial condition.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industries and the broader US economy experienced higher than expected inflationary pressures in 2022 and beyond, related to continued supply chain disruptions, tariffs, labor shortages and geopolitical instability. Should these conditions reappear, our business, results of operations and cash flows could be materially and adversely affected.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previously seen significant increases in the costs of certain materials, including steel, sand and fuel, as a result of availability constraints, supply chain disruption, increased demand, labor shortages associated with a fully employed US labor force, high inflation, interest rates and other factors. Those supply and demand fundamentals were further aggravated by disruptions in global energy supply caused by multiple geopolitical events, including the ongoing conflict between Russia and Ukraine. While prior supply chain constraints and demand fundamentals have more or less reverted to pre-2022 levels, tariffs, inflationary pressures and future supply chain disruptions, increased demand, labor shortages, increased inflation and interest rates, and other factors may adversely impact our operating costs and may negatively impact our ability to procure materials and equipment in a timely and cost-effective manner, if at all, in the future, which could result in reduced margins and production delays and, as a result, our business, financial condition, results of operations and cash flows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conflicts in Ukraine and Israel and related price volatility and geopolitical instability could negatively impact our business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late February 2022, Russia launched significant military action against Ukraine. The sanctions announced by the United States and other countries against Russia and Belarus following Russia’s invasion of Ukraine to date include restrictions on selling or importing goods, services, or technology in or from affected regions and travel bans and asset freezes impacting connected individuals and political, military, business, and financial organizations in Russia and Belarus. The United States and other countries could impose wider sanctions and take other actions should the conflict further escalate. Separately, in October 2023, Israel and certain Iranian-backed Palestinian forces began an armed conflict in Israel, the Gaza Strip, and surrounding areas, which threaten to extend into other Middle Eastern countries. These conflicts have caused, and could intensify, volatility in natural gas, oil and NGL prices. The extent and duration of the military actions, sanctions, and resulting market disruptions could be significant and could potentially have a substantial negative impact on the global economy and/or our business for an unknown period of time. We believe that the increase in crude oil prices during the first half of 2022 was partially due to the impact of the conflict between Russia and Ukraine on the global commodity and financial markets, and in response to economic and trade sanctions that certain countries have imposed on Russia. Any such volatility and disruptions may also magnify the impact of other risks described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U.S. Government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U.S. federal government shutdown could adversely affect our business, results of operations, and financial condition.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federal government periodically experiences funding gaps that result in partial or complete shutdowns of government operations. A prolonged shutdown could adversely impact the U.S. economy, financial markets, and our business directly and indirectly. During a shutdown, many federal agencies suspend or delay regulatory approvals, contract awards, payments, and other routine functions. To the extent that our business depends on U.S. government contracts, grants, permits, licenses, or other approvals, a shutdown could result in the delay, suspension, or cancellation of such activities, which could materially impact our operations and development activities.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Additionally, even though the Company does not contract directly with the federal government, a shutdown could have broader negative effects on consumer and business confidence, supply chains, access to financing, and the overall economy. In addition, uncertainty regarding the duration or frequency of government shutdowns may contribute to market volatility and reduced customer spending. Any of these events, individually or in the aggregate, could have a material adverse effect on our business, financial condition, results of operations, and stock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associated with imposition of tariffs or other trade barriers by the United States or foreign governments.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Recently there has been increasing uncertainty regarding international trade policies, including the ongoing implementation of tariffs and trade wars on a wide range of goods and materials, as well as retaliatory measures by other countries. These developments may result in higher costs for certain raw materials, components, and finished products, and may adversely impact our supply chain, including pricing, delivery timeline and general availability of products needed for our operations.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may be unable to fully mitigate any cost increases through price adjustments, supplier diversification, or other measures. Accordingly, continued or heightened global trade tensions or changes in tariff regimes, or the imposition of new trade restrictions could have a material adverse effect on our business, financial condition, results of operations, and cash flows.</w:t>
      </w:r>
    </w:p>
    <w:p>
      <w:pPr>
        <w:sectPr>
          <w:pgSz w:w="11900" w:h="16838" w:orient="portrait"/>
          <w:cols w:equalWidth="0" w:num="1">
            <w:col w:w="11240"/>
          </w:cols>
          <w:pgMar w:left="320" w:top="121" w:right="339" w:bottom="1111"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111"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Management, Employees and Directors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could arise for certain members of our Board of Directors that hold management positions with other entities and also represent our majority stockholders.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John A. Weinzierl and Duane H. King, each a member of the Board of Directors of the Company, may hold various other management positions with privately-held companies, some of which are involved in the oil and gas industry, and together such persons own more than 30 percent of our common stock. We believe these positions will not conflict with their roles or responsibilities with our company. Certain of these entities are party to agreements with the Company and if any of these companies enter into any additional transactions or agreements with our company, or other related party transactions or matters exist, potential conflicts of interest could arise from the directors performing services for us and these other entities.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significantly upon the continued involvement of our present management.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to a significant degree upon the involvement of our management, specifically, our Chief Executive Officer, Ryan L. Smith. Our performance and success are dependent to a large extent on the efforts and continued employment of Mr. Smith. We do not believe that Mr. Smith could be quickly replaced with personnel of equal experience and capabilities, and his successor(s) may not be as effective. If Mr. Smith or any of our other key personnel resign or become unable to continue in their present roles and if they are not adequately replaced, our business operations could be adversely affected. The Company entered into an agreement with Mr. Smith on May 5, 2022. The term of Mr. Smith’s Employment Agreement commenced on May 5, 2022, and had an initial term expiring January 1, 2024, subject to automatic one-year renewals. On August 14, 2024, effective July 1, 2024, the Company entered into a new amended and restated employment agreement with Mr. Smith, which amended and restated in its entirety the prior employment agreement between the Company and Mr. Smith dated May 5, 2022. That new agreement has an initial term expiring January 1, 2027, subject to automatic successive two-year renewals thereafter.</w:t>
      </w:r>
    </w:p>
    <w:p>
      <w:pPr>
        <w:spacing w:after="0" w:line="18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We have an active Board of Directors that meets several times throughout the year and is intimately involved in our business and the determination of our operational strategies. Members of our Board of Directors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Credit Agreement</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obligations under our credit agreement with FirstBank Southwest (the "Credit Agreement") are secured by a first priority security interest in substantially all of our assets.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obligations under the Credit Agreement are secured by a first priority security interest in substantially all of our assets. Additionally, substantially all of our subsidiaries agreed to guarantee our obligations under the Credit Agreement. As such, our creditor may enforce its security interests over our assets and/or our subsidiaries which secure the repayment of such obligations, take control of our assets and operations, force us to seek bankruptcy protection, or force us to curtail or abandon our current business plans and operations. If that were to happen, any investment in the Company could become worthless. Our Credit Agreement expires May 31, 2029, and there can be no assurance that we can renew or extend the Credit Agreement with the same terms or conditions.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in the documents governing our existing and future indebtedness could materially adversely affect our financial condition and liquidity.</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Credit Agreement, we agreed to comply with certain affirmative and negative covenants and agreed to meet certain financial covenants. We are required to make certain mandatory repayments under the Credit Agreement, in the event the borrowing base decreases below the aggregate amount of loans made by the lenders and/or if as of the last business day of any calendar month, certain required debt ratios required under the Credit Agreement are not met, there are outstanding amounts owed to the lenders, and the Company has consolidated cash on hand in excess of $5 million, and in some cases we are also required to pay cash to the agent to be held as collateral. The Credit Agreement contains customary indemnification requirements, representations and warranties and customary affirmative and negative covenants applicable to the Company and its subsidiaries party to such Credit Agreement (the "Loan Parties"), including, among other things, restrictions on indebtedness, liens, investments, mergers, dispositions, prepayment of other indebtedness, transactions with affiliates, and dividends and other distributions. In addition, the Credit Agreement contains financial covenants, tested quarterly, that limit the Company’s ratio of total debt to EBITDAX (as defined in the Credit Agreement) to 3:1 and require its ratio of consolidated current assets to consolidated current liabilities (as each is described in the Credit Agreement) to remain at 1:1 or higher. The Credit Agreement also requires us to hedge certain oil and gas volumes, based on our utilization of the borrowing base.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Events of default under the Credit Agreement include: the failure by the Company to timely make payments due under the Credit Agreement; material misrepresentations or misstatements in any representation or warranty of any of the Loan Parties; failure by the Company or any of its subsidiaries to comply with their covenants under the Credit Agreement and other related agreements, subject in certain cases to rights to cure; certain defaults under other indebtedness of the Loan Parties; insolvency or bankruptcy-related events with respect to the Company or any of its subsidiaries; certain unsatisfied judgments against the Company or any of its subsidiaries in an amount in excess of $500,000; if the Credit Agreement or certain related agreements or security interests created by them cease to be in full force and effect; certain ERISA-related events reasonably expected to have a material adverse effect on the Company and its subsidiaries; and the occurrence of a change in control, each as discussed in greater detail in the Credit Agreement, and subject to certain cure rights. If any event of default occurs and is continuing under the Credit Agreement, the lenders may terminate their commitments, and may require the Company and its subsidiaries to repay outstanding debt and/or to provide a cash deposit as additional security for outstanding letters of credit.</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breach of any of the covenants of the Credit Agreement or any future agreements, if uncured or unwaived, could lead to an event of default under any such document, which in some circumstances could give our creditors the right to demand that we accelerate repayment of amounts due and/or enforce their security interests over substantially all of our assets. This would likely in turn trigger cross-acceleration or cross-default rights in other documents governing our indebtedness. Therefore, in the event of any such breach, we may need to seek covenant waivers or amendments from our creditors or seek alternative or additional sources of financing, and we may not be able to obtain any such waivers or amendments or alternative or additional financing on acceptable terms, if at all. In addition, any covenant breach or event of default could harm our credit rating and our ability to obtain additional financing on acceptable terms. The occurrence of any of these events could have a material adverse effect on our financial condition and liquidity and/or cause our lenders to enforce their security interests which could ultimately result in the foreclosure of our assets, which would have a material adverse effect on our operations and the value of our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credit and loan agreements restrict our ability to operate our business and might lead to a default under our Credit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indemnification requirements, representations and warranties and customary affirmative and negative covenants applicable to the Loan Parties and their subsidiaries, including, among other things, restrictions on indebtedness, liens, investments, mergers, dispositions, prepayment of other indebtedness, transactions with affiliates, and dividends and other distributions. In addition, the Credit Agreement contains financial covenants, tested quarterly, that limit the Company’s ratio of total debt to EBITDAX (as defined in the Credit Agreement) to 3:1 and require its ratio of consolidated current assets to consolidated current liabilities (as each is described in the Credit Agreement) to remain at 1:1 or higher.</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these covenants and limitations, we may not be able to respond to changes in business and economic conditions and to obtain additional financing, if needed, and we may be prevented from engaging in transactions that might otherwise be beneficial to us. Our Credit Agreement requires, and our future credit facilities and loan agreements may require, us to maintain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Credit Agreement or future credit facilities. Upon the occurrence of an event of default, the lenders could elect to declare all amounts outstanding under such Credit Agreement, including accrued interest or other obligations, to be immediately due and payable. If amounts outstanding under such Credit Agreement were to be accelerated, our assets might not be sufficient to repay in full that indebtedness and our other indebtedness.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 prolonged period of weak, or a significant decrease in, industry activity and overall markets, may make it difficult to comply with our covenants and the other restrictions in the agreements governing our debt and current global and market conditions have increased the potential for that difficulty.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currently have 245,000,000 shares of common stock authorized and there may be future issuances of sales of our common stock, which could adversely affect the market price of our common stock and dilute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ownership of common stock.</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exercise of any options granted to executive officers and other employees under our equity compensation plans could have an adverse effect on the market price of the shares of our common stock. Additionally, we are not restricted from issuing additional shares of common stock, including any securities that are convertible into or exchangeable for, or that represent the right to receive shares of common stock, and currently have 245,000,000 authorized shares of common stock, provided that we are subject to the requirements of The Nasdaq Capital Market (“Nasdaq”)(which generally requires stockholder approval for any transactions which would result in the issuance of more than 20% of our then outstanding shares of common stock or voting rights representing over 20% of our then outstanding shares of stock, subject to certain exceptions, including sales in a public offering and/or sales which are undertaken at or above the lower of the closing price immediately preceding the signing of the binding agreement or the average closing price for the five trading days preceding the signing of the binding agreement). Issuances of a substantial number of shares of our common stock and/or sales of a substantial number of shares of our common stock in the public market or the perception that such issuances or sales might occur could materially adversely affect the market price of the shares of our common stock. Because our decision to issue securities in the future, including in connection with any future offering, will depend on market conditions and other factors beyond our control, we cannot predict or estimate the amount, timing, or nature of our future issuances or offerings. Accordingly, our stockholders bear the risk that our future issuances and/or offerings will reduce the market price of our common stock and dilute their stock holdings in 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established preferred stock which can be designated by the Board of Directors without stockholder approval.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5,000,000 shares of preferred stock authorized (none of which are outstanding). Shares of preferred stock may be designated and issued by our Board of Directors without stockholder approval with voting powers, and such preferences and relative, participating, optional, or other special rights and powers as determined by our Board of Directors, which may be greater than the shares of common stock currently outstanding. As a result, shares of preferred stock may be issued by our Board of Directors which cause the holders to have voting power over our shares or provide the holders of the preferred stock the right to convert the shares of preferred stock they hold into shares of our common stock, which may cause substantial dilution to our then common stock stockholders and/or have other rights and preferences (including, but not limited to voting rights) greater than those of our common stock stockholders. Investors should keep in mind that the Board of Directors has the authority to issue additional shares of preferred stock, which could cause substantial dilution to our existing stockholders or result in a change of control. Because our Board of Directors is entitled to designate the powers and preferences of the preferred stock without a vote of our stockholders, subject to Nasdaq rules and regulations, our stockholders will have no control over what designations and preferences our future preferred stock, if any, will have.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historically been and is likely to continue to be volatile.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stock is traded on The Nasdaq Capital Market under the symbol “USEG”. For the year ended December 31, 2025, our common stock has traded as high as $3.79 per share and as low as $0.92 per share. We expect our common stock will continue to be subject to wide fluctuations as a result of a variety of factors, including factors beyond our control. These factors include:</w:t>
      </w:r>
    </w:p>
    <w:p>
      <w:pPr>
        <w:spacing w:after="0" w:line="177" w:lineRule="exact"/>
        <w:rPr>
          <w:sz w:val="20"/>
          <w:szCs w:val="20"/>
          <w:color w:val="auto"/>
        </w:rPr>
      </w:pPr>
    </w:p>
    <w:p>
      <w:pPr>
        <w:ind w:left="660" w:hanging="33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in the industrial gas, oil and natural gas commodities markets;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drilling, recompletion and operating activity;</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small amounts of our common stock trading on any given day;</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and</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national and global economic outlook, including, but not limited to, as a result of inflation and interest rates, and global conflicts, including the current ongoing conflict between Ukraine and Russia), and tariffs.</w:t>
      </w:r>
    </w:p>
    <w:p>
      <w:pPr>
        <w:spacing w:after="0" w:line="16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stock market has recently experienced significant price and volume fluctuations, and industrial gas, oil and natural gas prices have also experienced significant volatility. These fluctuations have particularly affected the market prices of securities of industrial gas, oil and natural gas companies like ours.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if we cannot satisfy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continued listing requirements.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Among the conditions required for continued listing on The Nasdaq Capital Market, Nasdaq requires us to maintain at least one of the following: $2.5 million in stockholders’ equity, at least $35 million in market value of listed securities or $500,000 in net income over the prior two years or two of the prior three years and also meet other conditions including having a majority of independent directors and maintaining a stock price over $1.00 per share. Our stockholders’ equity may not remain above Nasdaq’s $2.5 million minimum, we may not have at least $35 million in market value of listed securities, and we may not generate over $500,000 of yearly net income moving forward, we may not be able to maintain independent directors, and we may not be able to maintain a stock price over $1.00 per share. Delisting from The Nasdaq Capital Market could make trading our common stock more difficult for investors, potentially leading to declines in our share price and liquidity. Without a Nasdaq Capital Market listing, stockholders may have a difficult time getting a quote for the sale or purchase of our stock, the sale or purchase of our stock would likely be made more difficult and the trading volume and liquidity of our stock could decline. Delisting from The Nasdaq Capital Market could also result in negative publicity and could also make it more difficult for us to raise additional capital. The absence of such a listing may adversely affect the acceptance of our common stock as currency or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If our common stock is delisted by Nasdaq, our common stock may be eligible to trade on an over-the-counter quotation system, such as the OTCQB market or OTC Pink market, where an investor may find it more difficult to sell our stock or obtain accurate quotations as to the market value of our common stock. In the event our common stock is delisted from The Nasdaq Capital Market, we may not be able to list our common stock on another national securities exchange or obtain quotation on an over-the counter quotation system.</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is delisted from The Nasdaq Capital Market, your ability to sell your shares of our common stock could also be limited by the penny stock restrictions, which could further limit the marketability of your shares.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common stock is delisted, it could come within the definition of “</w:t>
      </w:r>
      <w:r>
        <w:rPr>
          <w:rFonts w:ascii="Times New Roman" w:cs="Times New Roman" w:eastAsia="Times New Roman" w:hAnsi="Times New Roman"/>
          <w:sz w:val="18"/>
          <w:szCs w:val="18"/>
          <w:u w:val="single" w:color="auto"/>
          <w:color w:val="auto"/>
        </w:rPr>
        <w:t>penny stock</w:t>
      </w:r>
      <w:r>
        <w:rPr>
          <w:rFonts w:ascii="Times New Roman" w:cs="Times New Roman" w:eastAsia="Times New Roman" w:hAnsi="Times New Roman"/>
          <w:sz w:val="18"/>
          <w:szCs w:val="18"/>
          <w:color w:val="auto"/>
        </w:rPr>
        <w:t>” as defined in the Exchange Act and would then be covered by Rule 15g-9 of the Exchange Act. That Rule imposes additional sales practice requirements on broker-dealers who sell securities to persons other than established customers and accredited investors. For transactions covered by Rule 15g-9, the broker-dealer must make a special suitability determination for the purchaser and receive the purchaser’s written agreement to the transaction prior to the sale. Consequently, Rule 15g-9, if it were to become applicable, would affect the ability or willingness of broker-dealers to sell our securities, and accordingly would affect the ability of stockholders to sell their securities in the public market. These additional procedures could also limit our ability to raise additional capital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has determined to suspend our quarterly cash dividend.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9, 2023, the Board of Directors determined it appropriate to suspend dividend payments, with the associated future capital resources being allocated towards the Company’s share repurchase program, repayments of the outstanding balance on our credit facility and other Company initiatives. The Board of Directors may or may not reinstate future dividend payments in the future, the amount and frequency of which will be determined at the sole discretion of the Board. To the extent that the dividend is not reinstated in the future, only appreciation of the price of our common stock, which may not occur, will provide a return to our stockholders. The determination to pay dividends on our common stock is at the discretion of our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repurchases are discretionary and even if effected, they may not achieve the desired objectives.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29, 2025, the Board of Directors authorized and approved an extension of the ongoing share repurchase program for up to $5.0 million of the currently outstanding shares of the Company’s common stock originally approved by the Board of Directors on April 26, 2023, and set to expire on June 30, 2024. Subject to any future extension in the discretion of the Board of Directors of the Company, the repurchase program is now scheduled to expire on June 30, 2026, or when a maximum of $5.0 million of the Company’s common stock has been repurchased, or when such program is discontinued by the Board of Directors. Under the stock repurchase program, shares may be repurchased from time to time in the open market or through negotiated transactions at prevailing market rates,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program does not obligate the Company to acquire a minimum amount of shares.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repurchases pursuant to our stock repurchase program will enhance stockholder value because the market price of our common stock may decline below the levels at which we repurchase such shares. The amounts and timing of the repurchases may also be influenced by general market conditions, regulatory developments (including recent legislative actions which, subject to certain conditions, may impose an excise tax of 1% on our stock repurchases) and the prevailing price and trading volumes of our common stock. If our financial condition deteriorates or we decide to use our cash for other purposes, we may suspend repurchase activity at any time.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registered shares of common could cause the price of our common stock to decline and make it harder for us to sell equity in the future.</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registered the resale of a significant number of shares of common stock pursuant to a Form S-3 Registration Statement and a Form S-1 Registration Statement. The registered shares represent a significant number of shares of our common stock, and if sold in the market all at once or at about the same time, could significantly depress the market price of our common stock during the period the registration statement remains effective and could also affect our ability to raise equity capital in the future at a time and price that we deem reasonable or appropriate.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Purchase Agreement with Roth Principal Investments</w:t>
      </w:r>
    </w:p>
    <w:p>
      <w:pPr>
        <w:spacing w:after="0" w:line="22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The issuance and sale of our Common Stock to Roth Principal Investments may cause dilution to our other stockholders and the sale of the shares of Common Stock acquired by Roth Principal Investments, or the perception that such sales may occur, could cause the price of our Common Stock to fall.</w:t>
      </w:r>
    </w:p>
    <w:p>
      <w:pPr>
        <w:spacing w:after="0" w:line="1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October 9, 2025, we entered into the purchase agreement with Roth Principal Investments, pursuant to which Roth Principal Investments has committed to purchase up to $25.0 million of Purchase Shares, upon the terms and subject to the conditions set forth in the purchase agreement. Upon the execution of the purchase agreement, we issued 223,141 Commitment Shares to Roth Principal Investments as consideration for its commitment to purchase our Purchase Shares at our direction under the purchase agreement. The remaining shares of our common stock that may be issued under the purchase agreement may be sold by us to Roth Principal Investments at our discretion from time to time over a 24-month period following the effective date of a Form S-1 Registration Statement which was declared effective on December 1, 2025, subject to certain conditions. The purchase price for the shares that we</w:t>
      </w:r>
    </w:p>
    <w:p>
      <w:pPr>
        <w:sectPr>
          <w:pgSz w:w="11900" w:h="16838" w:orient="portrait"/>
          <w:cols w:equalWidth="0" w:num="1">
            <w:col w:w="11240"/>
          </w:cols>
          <w:pgMar w:left="320" w:top="121" w:right="339" w:bottom="0" w:gutter="0" w:footer="0" w:header="0"/>
        </w:sectPr>
      </w:pPr>
    </w:p>
    <w:bookmarkStart w:id="48" w:name="page49"/>
    <w:bookmarkEnd w:id="48"/>
    <w:p>
      <w:pPr>
        <w:jc w:val="both"/>
        <w:spacing w:after="0" w:line="280" w:lineRule="auto"/>
        <w:rPr>
          <w:sz w:val="20"/>
          <w:szCs w:val="20"/>
          <w:color w:val="auto"/>
        </w:rPr>
      </w:pPr>
      <w:r>
        <w:rPr>
          <w:rFonts w:ascii="Times New Roman" w:cs="Times New Roman" w:eastAsia="Times New Roman" w:hAnsi="Times New Roman"/>
          <w:sz w:val="18"/>
          <w:szCs w:val="18"/>
          <w:color w:val="auto"/>
        </w:rPr>
        <w:t>may sell to Roth Principal Investments under the purchase agreement will fluctuate based on the market price of our common stock. Depending on demand and market liquidity at the time, sales of such shares by Roth Principal Investments may cause the trading price of our common stock to fall.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future sales of our shares to Roth Principal Investments. Any sales of our common stock to Roth Principal Investments will depend upon market conditions and other factors to be determined by us. We may ultimately decide to sell to Roth Principal Investments all, some or none of the shares of our common stock that may be available for us to sell pursuant to the purchase agreement. If and when we sell shares to Roth Principal Investments, Roth Principal Investments may then resell all, some or none of those shares at any time or from time to time in its discretion. Therefore, our sales to Roth Principal Investments could result in substantial dilution to the interests of other holders of our common stock. Additionally, the sale of a substantial number of shares of our common stock to Roth Principal Investments, or the anticipation of such sales, could make it more difficult for us to sell equity or equity-related securities in the future at a time and at a price that we might otherwise wish to effect sales.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Purchase Agreement to Roth Principal Investments, or the actual gross proceeds resulting from those sales.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9, 2025, we entered into the purchase agreement with Roth Principal Investments, pursuant to which Roth Principal Investments has committed to purchase up to $25,000,000 of shares of our common stock, subject to certain limitations and conditions set forth in the purchase agreement. The shares of our common stock that may be issued under the purchase agreement may be sold by us to Roth Principal Investments at our discretion from time to time during the Commitment Period.</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Roth Principal Investments under the purchase agreement. Sales of our common stock, if any, to Roth Principal Investments under the purchase agreement will depend upon market conditions and other factors to be determined by us.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the per share purchase price that Roth Principal Investments will pay for Purchase Shares in any Market Open Purchase or Intraday Purchase that we may elect to effect pursuant to the purchase agreement will be determined by reference to the VWAP during the applicable valuation periods. It is not possible for us to predict the number of shares of common stock that we will sell to Roth Principal Investments as Purchase Shares under the purchase agreement, the purchase price per share that Roth Principal Investments will pay for Purchase Shares purchased from us under the purchase agreement, or the aggregate gross proceeds that we will receive from those purchases by Roth Principal Investments under the purchase agreement.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$25,000,000 of our common stock to Roth Principal Investments, only 23,876,859 Purchase Shares (in addition to the 223,141 Commitment Shares, for which we have not and will not receive any cash consideration) have been registered under the Securities Act for resale by Roth Principal Investments. Depending on the market prices of our common stock on the Purchase Dates on which we elect to sell such Purchase Shares to Roth Principal Investments under the purchase agreement, we may need to register under the Securities Act additional shares of our common stock for resale by Roth Principal Investments in order for us to receive aggregate proceeds equal to Roth Principal Investments’ $25,000,000 maximum aggregate purchase commitment available to us under the purchase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to the extent that the Exchange Cap remains applicable to issuances and sales of our common stock under the Purchase Agreement, if we elect to issue and sell to Roth Principal Investments more shares of common stock than the Exchange Cap (or 7,123,382 shares of common stock, 223,141 of which shares represent the Commitment Shares that we issued to Roth Principal Investments upon execution of the purchase agreement on October 9, 2025, for which we have not and will not receive any cash consideration) under the purchase agreement, which we have the right, but not the obligation, to do, we must first obtain stockholder approval to issue shares of common stock in excess of the Exchange Cap under the purchase agreement in accordance with applicable Nasdaq rules.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Roth Principal Investments will pay less than the then-prevailing market price for our shares of Common Stock, which could cause the price of our Common Stock to decline.</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purchase price of our common stock to be sold to Roth Principal Investments under the Purchase Agreement is derived from the market price of our common stock on Nasdaq. Common stock to be sold to Roth Principal Investments pursuant to the Purchase Agreement will be purchased at a discounted price. The actual amount of proceeds we receive pursuant to each Purchase Notice (each, the “Purchase Amount”) is determined by multiplying the Purchase Amount requested by the applicable purchase price.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Roth Principal Investments may sell the shares it receives immediately after receipt of such shares, and/or may sell such shares short prior to the purchase of such shares, which may be prior to final determination of the purchase price for such shares and could cause the price of our common stock to decrease. If the price of our common stock declines, then Roth Principal Investments may pay a lower purchase price for such shares.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owe the Roth Principal Investments additional consideration in the event it does not generate at least $450,000 in proceeds from the Roth Principal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resale of the Commitment Shares.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consideration for Roth Principal Investments’ commitment to purchase shares of common stock our direction upon the terms and subject to the conditions set forth in the purchase agreement, we (i) paid to Roth Principal Investments a cash “structuring fee” of $25,000, prior to our execution of the purchase agreement, (ii) upon our execution of the purchase agreement, we issued 223,141 Commitment Shares to Roth Principal Investments, which Commitment Shares had a total aggregate value equal to 1.08% of Roth Principal Investments’ $25,000,000 total aggregate purchase commitment under the purchase agreement (each Commitment Share valued at $1.21 per share, representing the closing sale price of the common stock immediately prior to the execution of the purchase agreement, rounded to the nearest whole share), and (iii) agreed to pay to Roth Principal Investments the Cash Commitment Fee of $180,000, which was equal to 0.72% of Roth Principal Investments’ $25,000,000 total aggregate dollar amount purchase commitment under the purchase agreement. Under the terms of the purchase agreement, in certain circumstances set forth in the purchase agreement, we may be required to pay Roth Principal Investments up to $270,000 (or 1.08% of Roth Principal Investments’ $25,000,000 aggregate purchase commitment under the purchase agreement), in cash, as a “make-whole” payment to the extent the aggregate amount of cash proceeds, if any, received by Roth Principal Investments from the resale of the Commitment Shares, prior to certain times set forth in the purchase agreement, is less than $270,000, in exchange for Roth Principal Investments returning to us for cancelation all of the Commitment Shares we originally issued to Roth Principal Investments upon execution of the purchase agreement that were not previously resold by Roth Principal Investments prior to the times specified in the purchase agreement, if any. We will not make any such cash “make-whole” payment to Roth Principal Investments if, after the Commencement Date, the aggregate net proceeds received by Roth Principal Investments from their resale of all or any portion of the Commitment Shares equals or exceeds $270,000.</w:t>
      </w:r>
    </w:p>
    <w:p>
      <w:pPr>
        <w:sectPr>
          <w:pgSz w:w="11900" w:h="16838" w:orient="portrait"/>
          <w:cols w:equalWidth="0" w:num="1">
            <w:col w:w="11240"/>
          </w:cols>
          <w:pgMar w:left="320" w:top="121" w:right="339" w:bottom="36"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36"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Governing Documents and Delaware Law</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for indemnification of officers and directors at our expense and limits their liability, which may result in a major cost to us and hurt the interests of our stockholders because corporate resources may be expended for the benefit of officers or directors.</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Article VI.B. of our Certificate of Incorporation provides for indemnification as follows: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“proceeding”)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“indemnitee”),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Article VI.B. of the Certificate of Incorporation or otherwise.”</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advised that, in the opinion of the SEC, indemnification for liabilities arising under federal securities laws is against public policy as expressed in the Securities Act and is, therefore, unenforceable. In the event that a claim for indemnification for liabilities arising under federal securities laws, other than the payment by us of expenses incurred or paid by a director, officer or controlling person in the successful defense of any action, suit or proceeding, is asserted by a director, officer or controlling person in connection with our activities, we will (unless in the opinion of our counsel, the matter has been settled by controlling precedent) submit to a court of appropriate jurisdiction, the question whether indemnification by us is against public policy as expressed in the Securities Act and will be governed by the final adjudication of such issue. The legal process relating to this matter if it were to occur is likely to be very costly and may result in us receiving negative publicity, either of which factors is likely to materially reduce the market and price for our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specific provision that limits the liability of our directors for monetary damages to the Company and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 and requires us, under certain circumstances, to indemnify officers, directors and employees.</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limitation of monetary liability against our directors, officers and employees under Delaware law and the existence of indemnification rights to them may result in substantial expenditures by us and may discourage lawsuits against our directors, officers and employees.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contains a specific provision that limits the liability of our directors for monetary damages to the Company and the Company’s stockholders, including as a result of a breach of their fiduciary duties, except to the extent such exception from liability is not permitted under Delaware General Corporation Law. We also have contractual indemnification obligations under our employment and engagement agreements with our executive officers and directors, as well as pursuant to indemnification agreements. The foregoing indemnification obligations could result in us incurring substantial expenditures to cover the cost of settlement or damage awards against our directors and officers, which the Company may be unable to recoup. These provisions and resultant costs may also discourage us from bringing a lawsuit against our directors and officers for breaches of their fiduciary duties and may similarly discourage the filing of derivative litigation by our stockholders against our directors and officers, even though such actions, if successful, might otherwise benefit us and our stockholders.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our Amended and Restated Bylaws, as well as provisions of Delaware law, might discourage, delay or prevent an acquisition of the Company, a change in control of our company or changes in our management and, therefore, depress the trading price of our common stock.</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(DGCL) have anti-takeover effects and may inhibit a non-negotiated merger or other business combination, notwithstanding the fact that our Certificate of Incorporation provides that we are not subject to Section 203 of the DGCL, which relates to certain restrictions on business combinations with interested stockholders. These provisions are intended to encourage any person interested in acquiring the Company to negotiate with, and to obtain the approval of, our directors, in connection with such a transaction. As a result, certain of these provisions may discourage a future acquisition of the Company, including an acquisition in which the stockholders might otherwise receive a premium for their shares. In addition, we can also authorize “blank check” preferred stock, which could be issued by our Board of Directors without stockholder approval and may contain voting, liquidation, dividend and other rights superior to our common stock.</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Additionally, our Certificate of Incorporation and Amended and Restated Bylaws also contain provisions that may discourage, delay or prevent a merger, acquisition or other change in control that stockholders may consider favorable, including transactions in which you might otherwise receive a premium for your shares of our common stock. These provisions may also prevent or delay attempts by our stockholders to replace or remove our management. Our corporate governance documents include provisions:</w:t>
      </w:r>
    </w:p>
    <w:p>
      <w:pPr>
        <w:spacing w:after="0" w:line="181" w:lineRule="exact"/>
        <w:rPr>
          <w:sz w:val="20"/>
          <w:szCs w:val="20"/>
          <w:color w:val="auto"/>
        </w:rPr>
      </w:pPr>
    </w:p>
    <w:p>
      <w:pPr>
        <w:ind w:left="660" w:hanging="330"/>
        <w:spacing w:after="0" w:line="28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is divided into three classes, with each class serving for staggered three-year terms;</w:t>
      </w:r>
    </w:p>
    <w:p>
      <w:pPr>
        <w:spacing w:after="0" w:line="18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with voting, liquidation, dividend and other rights superior to our common stock; and</w:t>
      </w:r>
    </w:p>
    <w:p>
      <w:pPr>
        <w:spacing w:after="0" w:line="18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Any provision of our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exclusive forum provisions that may discourage lawsuits against us and our directors and officers.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unless the corporation consents in writing to the selection of an alternative forum, the Court of Chancery of the State of Delaware, will be the sole and exclusive forum for (i) any derivative action or proceeding brought on behalf of the Company, (ii) any action asserting a claim for breach of a fiduciary duty owed by any current or former director, officer, employee or stockholder of the Company to the Company or the Company’s stockholders, (iii) any action asserting a claim arising pursuant to any provision of the Delaware General Corporation Law, our Certificate of Incorporation or Bylaws or (iv) any action asserting a claim governed by the internal affairs doctrine.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choice of forum provision in our Certificate of Incorporation does not waive our compliance with our obligations under the federal securities laws and the rules and regulations thereunder. Moreover, the provision does not apply to suits brought to enforce a duty or liability created by the Exchange Act or by the Securities Act.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with respect to suits brought to enforce a duty or liability created by the Securities Act or the rules and regulations thereunder. Accordingly, both state and federal courts have jurisdiction to entertain claims under the Securities Act.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above, to prevent having to litigate claims in multiple jurisdictions and the threat of inconsistent or contrary rulings by different courts, among other considerations, our Certificate of Incorporation provides that unless the Company consents, the U.S. federal district courts will be the exclusive forum for resolving any complaint asserting a cause of action arising under the Securities Act. However, there is uncertainty as to whether a court would enforce such a provision. While the Delaware courts have determined that choice of forum provisions of the type included in our Certificate of Incorporation are facially valid, a stockholder may nevertheless seek to bring a claim in a venue other than those designated in our exclusive forum provision. In such instance, to the extent applicable, we would expect to vigorously assert the validity and enforceability of our exclusive forum provision. This may require additional costs associated with resolving such action in other jurisdictions and there can be no assurance that the provisions will be enforced by a court in those other jurisdictions.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the ability of the Company’s stockholders to bring a claim in a judicial forum that such stockholders find favorable for disputes with the Company or the Company’s directors or officers, which may discourage such lawsuits against the Company and the Company’s directors and officers. Alternatively, if a court were to find one or more of these exclusive forum provisions inapplicable to, or unenforceable in respect of, one or more of the specified types of actions or proceedings described above, we may incur additional costs associated with resolving such matters in other jurisdictions or forums, which could materially and adversely affect our business, financial condition, or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Because we are a smaller reporting company, the requirements of being a public company, including compliance with the reporting requirements of the Exchange Act and the requirements of the Sarbanes-Oxley Act and the Dodd-Frank Act, may strain our resources, increase our costs and distract management, and we may be unable to comply with these requirements in a timely or cost-effective manner.</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with listed equity securities, we must comply with the federal securities laws, rules and regulations, including certain corporate governance provisions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Dodd-Frank Act, related rules and regulations of the SEC and Nasdaq, with which a private company is not required to comply. Complying with these laws, rules and regulations will occupy a significant amount of time of our board of directors and management and will significantly increase our costs and expenses, which we cannot estimate accurately at this time. Among other things, we must:</w:t>
      </w:r>
    </w:p>
    <w:p>
      <w:pPr>
        <w:spacing w:after="0" w:line="186" w:lineRule="exact"/>
        <w:rPr>
          <w:sz w:val="20"/>
          <w:szCs w:val="20"/>
          <w:color w:val="auto"/>
        </w:rPr>
      </w:pPr>
    </w:p>
    <w:p>
      <w:pPr>
        <w:ind w:left="660" w:hanging="330"/>
        <w:spacing w:after="0" w:line="28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 system of internal control over financial reporting in compliance with the requirements of Section 404 of the Sarbanes-Oxley Act and the related rules and regulations of the SEC and the Public Company Accounting Oversight Board;</w:t>
      </w:r>
    </w:p>
    <w:p>
      <w:pPr>
        <w:spacing w:after="0" w:line="18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rules and regulations promulgated by Nasdaq;</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in compliance with our obligations under the federal securities laws;</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various internal compliance and disclosures policies, such as those relating to disclosure controls and procedures and insider trading in our common stock;</w:t>
      </w:r>
    </w:p>
    <w:p>
      <w:pPr>
        <w:spacing w:after="0" w:line="18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above activities;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comprehensive internal audit function; and</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investor relations function.</w:t>
      </w:r>
    </w:p>
    <w:p>
      <w:pPr>
        <w:spacing w:after="0" w:line="25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In addition, being a public company subject to these rules and regulations may require us to accept less director and officer liability insurance coverage than we desire or to incur substantial costs to obtain coverage. These factors could also make it more difficult for us to attract and retain qualified members of our board of directors, particularly to serve on our audit committee, and qualified executive officers.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security threats, including cybersecurity threats.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various security threats, including cybersecurity threats to gain unauthorized access to our sensitive information or to render our information or systems unusable, and threats to the security of our facilities and infrastructure or third-party facilities and infrastructure, such as gathering and processing facilities, refineries, rail facilities and pipelines. The potential for such security threats subjects our operations to increased risks that could have a material adverse effect on our business, financial condition and results of operations. For example, unauthorized access to our seismic data, reserves information or other proprietary information could lead to data corruption, communication interruptions, or other disruptions to our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implementation of various procedures and controls to monitor and mitigate such security threats and to increase security for our information, systems, facilities and infrastructure may result in increased capital and operating costs. Moreover, there can be no assurance that such procedures and controls will be sufficient to prevent security breaches from occurring. If any of these security breaches were to occur, they could lead to losses of, or damage to, sensitive information or facilities, infrastructure and systems essential to our business and operations, as well as data corruption, reputational damage, communication interruptions or other disruptions to our operations, which, in turn, could have a material adverse effect on our business, financial position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threat and impact of terrorist attacks, cyber-attacks or similar hostilities may adversely impact our operations.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cannot assess the extent of either the threat or the potential impact of future terrorist attacks on the energy industry in general, and on us in particular, either in the short-term or in the long-term. Uncertainty surrounding such hostilities may affect our operations in unpredictable ways, including the possibility that infrastructure facilities, including pipelines and gathering systems, production facilities, processing plants and refineries, could be targets of, or indirect casualties of, an act of terror, a cyber-attack or electronic security breach, or an act of war.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managing growth in our business, which could have a material adverse effect on our business, financial condition and results of operations and our ability to execute our business plan in a timely fashion.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our small size, growth in accordance with our business plans, if achieved, will place a significant strain on our financial, technical, operational and management resources. As we expand our activities, including our planned increase in oil exploration, development and production, and increase the number of projects we are evaluating or in which we participate,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and landmen could have a material adverse effect on our business, financial condition and results of operations and our ability to execute our business plan in a timely fashion.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critical data and technology systems could materially affect our operations.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Information technology solution failures, network disruptions and breaches of data security could disrupt our operations by causing delays or cancellation of customer orders, impeding processing of transactions and reporting financial results, resulting in the unintentional disclosure of customer, employee or our information, or damage to our reputation. There can be no assurance that a system failure or data security breach will not have a material adverse effect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complete acquisitions or enter into business combinations in the future, they may disrupt or have a negative impact on our business.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complete acquisitions or enter into business combinations in the future, funding permitting, we could have difficulty integrating the acquired companies’ assets, personnel and operations with our own. Additionally, acquisitions, mergers or business combinations we may enter into in the future could result in a change of control of the Company, and a change in the board of directors or officers of the Company. In addition, the key personnel of the acquired business may not be willing to work for us. We cannot predict the effect expansion may have on our core business. Regardless of whether we are successful in making an acquisition or completing a business combination, the negotiations could disrupt our ongoing business, distract our management and employees and increase our expenses. In addition to the risks described above, acquisitions and business combinations are accompanied by a number of inherent risks, including, without limitation, the following:</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difficulty of integrating acquired companies, concepts and operations;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potential disruption of the ongoing businesses and distraction of our management and the management of acquired companies;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in our business focus and/or management;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●difficulties in maintaining uniform standards, controls, procedures and policies;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potential impairment of relationships with employees and partners as a result of any integration of new management personnel;</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potential inability to manage an increased number of locations and employees;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ability to successfully manage the companies and/or concepts acquired;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failure to realize efficiencies, synergies and cost savings; or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effect of any government regulations which relate to the business acquired.</w:t>
      </w:r>
    </w:p>
    <w:p>
      <w:pPr>
        <w:spacing w:after="0" w:line="25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Our business could be severely impaired if and to the extent that we are unable to succeed in addressing any of these risks or other problems encountered in connection with an acquisition or business combination, many of which cannot be presently identified. These risks and problems could disrupt our ongoing business, distract our management and employees, increase our expenses and adversely affect our results of operations.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Any acquisition or business combination transaction we enter into in the future could cause substantial dilution to existing stockholders, result in one party having majority or significant control over the Company or result in a change in business focus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persons engage in short sales of our common stock, the price of our common stock may decline.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short is a technique used by a stockholder to take advantage of an anticipated decline in the price of a security. In addition, holders of options and warrants will sometimes sell short knowing they can, in effect, cover through the exercise of an option or warrant, thus locking in a profit. A significant number of short sales or a large volume of other sales within a relatively short period of time can create downward pressure on the market price of a security. Further sales of common stock issued upon exercise of future warrants or other convertible securities could cause even greater declines in the price of our common stock due to the number of additional shares available in the market upon such exercise, which could encourage short sales that could further undermine the value of our common stock. Stockholders could, therefore, experience a decline in the values of their investment as a result of short sales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be diluted significantly through our efforts to obtain financing and satisfy obligations through the issuance of securities.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Wherever possible, our Board of Directors will attempt to use non-cash consideration to satisfy obligations. In many instances, we believe that the non-cash consideration will consist of shares of our common stock, preferred stock, or warrants to purchase shares of our common stock. Our Board of Directors has authority, without action or vote of the stockholders, subject to the requirements of The Nasdaq Capital Market (which generally require stockholder approval for any transactions which would result in the issuance of more than 20% of our then outstanding shares of common stock or voting rights representing over 20% of our then outstanding shares of stock, subject to certain exceptions, including sales in a public offering and/or sales which are undertaken at or above the lower of the closing price immediately preceding the signing of the binding agreement or the average closing price for the five trading days preceding the signing of the binding agreement), to issue all or part of the authorized but unissued shares of common stock, preferred stock or warrants to purchase such shares of common stock. In addition, we may attempt to raise capital by selling shares of our common stock, possibly at a discount to market in the future. These actions will result in dilution of the ownership interests of existing stockholders and may further dilute common stock book value, and that dilution may be material. Such issuances may also serve to enhance existing management’s ability to maintain control of us, because the shares may be issued to parties or entities committed to supporting existing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litigation or governmental proceedings could result in material adverse consequences, including judgments or settlements.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lawsuits, regulatory inquiries and may be involved in governmental and other legal proceedings arising out of the ordinary course of our business. Many of these matters raise difficult and complicated factual and legal issues and are subject to uncertainties and complexities. The timing of the final resolutions to these types of matters is often uncertain. Additionally, the possible outcomes or resolutions to these matters could include adverse judgments or settlements, either of which could require substantial payments, adversely affecting our results of operations and liquidity.</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and harm the combined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insurance coverage may not be sufficient to cover all costs and damages.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past, securities class action or stockholder derivative litigation often follows certain significant business transactions, such as a material acquisition like the one completed in January 2022. The combined company may become involved in this type of litigation in the future. Litigation often is expensive and diverts management’s attention and resources, which could adversely affect the combined company’s business.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physical effects of climate change could disrupt our production and cause us to incur significant costs in preparing for or responding to those effects. An economy-wide transition to lower GHG energy sources could have a variety of adverse effects on our operations and financial results.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Many scientists have shown that increasing concentrations of carbon dioxide, methane and other GHGs in the Earth’s atmosphere are changing global climate patterns. One consequence of climate change could be increased severity of extreme weather, such as increased hurricanes and floods. If such events were to occur, or become more frequent, our operations could be adversely affected in various ways, including through damage to our facilities or from increased costs for insurance.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Another possible consequence of climate change is increased volatility in seasonal temperatures. The market for natural gas is generally improved by periods of colder weather and impaired by periods of warmer weather, so any changes in climate could affect the market for the fuels that we produce. As a result, if there is an overall trend of warmer temperatures, it would be expected to have an adverse effect on our business.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Efforts by governments, international bodies, businesses and consumers to reduce GHGs and otherwise mitigate the effects of climate change are ongoing. The nature of these efforts and their effects on our business are inherently unpredictable and subject to change. However, actions taken by private parties in anticipation of, or to facilitate, a transition to a lower-GHG economy will affect us as well. For example, our cost of capital may increase if lenders or other market participants decline to invest in fossil fuel-related companies for regulatory or reputational reasons. Similarly, increased demand for low-carbon or renewable energy sources from consumers could reduce the demand for, and the price of, the products we produce. Technological changes, such as developments in renewable energy and low-carbon transportation, could also adversely affect demand for our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does not insure against all potential losses, which could result in significant financial exposure.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have commercial insurance or third-party indemnities to fully cover all operational risks or potential liability in the event of a significant incident or series of incidents causing catastrophic loss. As a result, the Company is, to a substantial extent, self-insured for such events. The Company relies on existing liquidity, financial resources and borrowing capacity to meet short-term obligations that would arise from such an event or series of events. The occurrence of a significant incident, series of events, or unforeseen liability for which the Company is self-insured, not fully insured or for which insurance recovery is significantly delayed could have a material adverse effect on the Company’s results of operations or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attention to environmental, social, and governance (ESG) matters may impact our business.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Increasing attention to ESG matters, including those related to climate change and sustainability, increasing societal, investor and legislative pressure on companies to address ESG matters, may result in increased costs, reduced profits, increased investigations and litigation or threats thereof, negative impacts on our stock price and access to capital markets, and damage to our reputation. Increasing attention to climate change, for example, may result in demand shifts for hydrocarbon and additional governmental investigations and private litigation, or threats thereof, against the Company. In addition, organizations that provide information to investors on corporate governance and related matters have developed ratings processes for evaluating companies on their approach to ESG matters, including climate change and climate-related risks. Such ratings are used by some investors to inform their investment and voting decisions. Also, some stakeholders, including but not limited to sovereign wealth, pension, and endowment funds, have been divesting and promoting divestment of or screening out of fossil fuel equities and urging lenders to limit funding to companies engaged in the extraction of fossil fuel reserves. Unfavorable ESG ratings and investment community divestment initiatives, among other actions, may lead to negative investor sentiment toward the Company and to the diversion of investment to other industries, which could have a negative impact on our stock price and our access to and costs of capital. Additionally, evolving expectations on various ESG matters, including biodiversity, waste and water, may increase costs, require changes in how we operate and lead to negative stakeholder sentiment.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could materially adversely affect our business, results of operations, financial condition and growth.</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Adverse macroeconomic conditions, including inflation, slower growth or recession, new or increased tariffs, changes to fiscal and monetary policy, tighter credit, higher interest rates, high unemployment and currency fluctuations could materially adversely affect our operations, expenses, access to capital and the market for oil and gas. In addition, uncertainty about, or a decline in, global or regional economic conditions could have a significant impact on our expected funding sources, suppliers and partners. A downturn in the economic environment could also lead to limitations on our ability to issue new debt; reduced liquidity; and declines in the fair value of our financial instruments. These and other economic factors could materially adversely affect our business, results of operations, financial condition and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climate change or by legal, regulatory or market responses to such change.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long-term effects of climate change are difficult to predict; however, such effects may be widespread. Impacts from climate change may include physical risks (such as rising sea levels or frequency and severity of extreme weather conditions), social and human effects (such as population dislocations or harm to health and well-being), compliance costs and transition risks (such as regulatory or technology changes) and other adverse effects. The effects of climate change could increase the cost of certain products, commodities and energy (including utilities), which in turn may impact our ability to procure goods or services required for the operation of our business. Climate change could also lead to increased costs as a result of physical damage to or destruction of our facilities, equipment and business interruption due to weather events that may be attributable to climate change. These events and impacts could materially adversely affect our business operations, financial position or results of operation.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adversely impacted by changes in accounting standards.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subject to the application of GAAP, which periodically is revised or reinterpreted. From time to time, we are required to adopt new or revised accounting standards issued by recognized authoritative bodies, including the Financial Accounting Standards Board and the SEC. It is possible that future accounting standards may require changes to the accounting treatment in our consolidated financial statements and may require us to make significant changes to our financial systems. Such changes might have a materially adverse impact on our financial position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U.S. tax laws, if adopted, could have an adverse effect on our business, financial condition, results of operations, and cash flows.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legislative proposals are made that would, if enacted, result in the elimination of the immediate deduction for intangible drilling and development costs, the elimination of the deduction from income for domestic production activities relating to industrial gas, oil and natural gas exploration and development, the repeal of the percentage depletion allowance for oil and gas properties, and an extension of the amortization period for certain geological and geophysical expenditures. Such changes, if adopted, or other similar changes that reduce or eliminate deductions currently available with respect to industrial gas oil and gas exploration and development, could adversely affect our business, financial condition, results of operations, and cash flows.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cybersecurity environment is led by our information technology (IT) group, which, in addition to cybersecurity matters, oversees the Company’s IT infrastructure. The IT group is responsible for monitoring and managing the security of the Company's corporate network and enterprise systems, including technical controls, and safety protocols and responding to security threats.</w:t>
      </w:r>
    </w:p>
    <w:p>
      <w:pPr>
        <w:spacing w:after="0" w:line="16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The Company maintains a cybersecurity risk management program that establishes safeguards for protecting the confidentiality, integrity, and availability of our data, technology, and information systems. The program includes general controls for managing changes in and access to the Company’s IT environment, cybersecurity awareness and training to help employees identify and mitigate against cybersecurity threats, cybersecurity incident response plans and third-party incident response retainers to help expedite the Company’s response in the event of a cybersecurity incident.</w:t>
      </w:r>
    </w:p>
    <w:p>
      <w:pPr>
        <w:spacing w:after="0" w:line="17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1"/>
          <w:szCs w:val="21"/>
          <w:color w:val="auto"/>
        </w:rPr>
        <w:t>The Company’s Director of IT is primarily responsible for the day-to-day operation of the Company’s cybersecurity program and for identifying cybersecurity threats and incidents and managing the material risks associated with the cybersecurity threats. The Company’s Director of IT engages third-party vendors and cybersecurity consortiums periodically for cybersecurity-related guidance and certifications. In the event of a cybersecurity incident, the Company’s process calls for the Director of IT and Chief Financial Officer, to work to assess and respond to the incident and provide briefings to the Chief Executive Officer and the Audit Committee of the Board of Directors.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Audit Committee is responsible for providing oversight over management's processes to identify and evaluate cybersecurity risks to which the Company is exposed and to implement processes and programs to manage cybersecurity risks and mitigate any incidents. The Audit Committee also reports material cybersecurity risks to the Board. We believe this risk management process provides visibility and oversight to allow the Board and executive leadership team to make timely, data-driven decisions ensuring that the Company, its employees, investors, and partners are adequately protected.</w:t>
      </w:r>
    </w:p>
    <w:p>
      <w:pPr>
        <w:spacing w:after="0" w:line="157"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1"/>
          <w:szCs w:val="21"/>
          <w:color w:val="auto"/>
        </w:rPr>
        <w:t>As of and for the years ended December 31, 2025 and 2024, there have been no cybersecurity incidents that have materially affected the Company’s business strategy, results of operations, or financial condition.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oil and gas properties are described below and under Item 8, Notes to Consolidated Financial Statements under the captions “Oil and Natural Gas Producing Activities” and “Supplemental Oil and Natural Gas Information (Unaudited)”,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Interests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Reserve estimates are based on average prices per barrel of oil and per Mmbtu of natural gas at the first day of each month of the 12-month period prior to the end of the reporting period. Reserve estimates as of December 31, 2025, 2024, and 2023 are based on the following average prices, in each case as adjusted for transportation, quality, and basis differentials applicable to our properties on a weighted average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Average Price During</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(per Bbl)</w:t>
            </w:r>
          </w:p>
        </w:tc>
        <w:tc>
          <w:tcPr>
            <w:tcW w:w="29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65.34</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75.48</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Gas (per Mmbtu)</w:t>
            </w:r>
          </w:p>
        </w:tc>
        <w:tc>
          <w:tcPr>
            <w:tcW w:w="29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Presented below is a summary of our proved oil and natural gas reserve quantities, all of which are located in the United States, as of the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Natural</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Natural</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6"/>
              </w:rPr>
              <w:t>Natural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Oil</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Oil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Oil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(MBOE)</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(MBOE)</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(MMcf)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(MBOE)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Proved non-producing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undeveloped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proved reserves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Controls Over Proved Reserve Estimates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internal controls over the recording of proved reserves are structured to objectively and accurately estimate our reserve quantities and values in compliance with the SEC’s regulations. Our process for managing and monitoring our proved reserves is delegated to On Point Resources, a third-party</w:t>
      </w:r>
    </w:p>
    <w:p>
      <w:pPr>
        <w:sectPr>
          <w:pgSz w:w="11900" w:h="16838" w:orient="portrait"/>
          <w:cols w:equalWidth="0" w:num="1">
            <w:col w:w="11240"/>
          </w:cols>
          <w:pgMar w:left="320" w:top="121" w:right="339" w:bottom="0" w:gutter="0" w:footer="0" w:header="0"/>
        </w:sectPr>
      </w:pPr>
    </w:p>
    <w:bookmarkStart w:id="58" w:name="page59"/>
    <w:bookmarkEnd w:id="58"/>
    <w:p>
      <w:pPr>
        <w:jc w:val="both"/>
        <w:spacing w:after="0" w:line="280" w:lineRule="auto"/>
        <w:rPr>
          <w:sz w:val="20"/>
          <w:szCs w:val="20"/>
          <w:color w:val="auto"/>
        </w:rPr>
      </w:pPr>
      <w:r>
        <w:rPr>
          <w:rFonts w:ascii="Times New Roman" w:cs="Times New Roman" w:eastAsia="Times New Roman" w:hAnsi="Times New Roman"/>
          <w:sz w:val="18"/>
          <w:szCs w:val="18"/>
          <w:color w:val="auto"/>
        </w:rPr>
        <w:t>independent petroleum engineering company. Oversight is provided by management and the Audit Committee of our Board of Directors, as discussed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Point Resources, Inc.'s President, Don Jacks has worked in the energy industry since 1981 and has been contracted by the Company to perform our proved reserve estimates since 2019. He holds a Bachelor of Science Degree and a Master of Science Degree in Petroleum Engineering from The University of Texas at Austin and has been a Registered Professional Petroleum Engineer in the state of Texas since 1992. He is also a member of the Society of Petroleum Evaluation Engineers (SPEE) and has been a chapter officer since 2005. Technical and engineering reviews of our assets are performed quarterly by Mr. Jacks and reported to our management. Data obtained from these reviews, in conjunction with economic data and our ownership information, is used in making a determination of estimated proved reserve quantities.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reserves are reviewed by our management quarterly and by the Audit Committee of our Board of Directors at least annually. Our management, which includes our Chief Executive Officer and Chief Financial Officer, is responsible for reviewing and verifying that the estimate of proved reserves is reasonable, complete, and accurate. The Audit Committee reviews a summary of the final reserves estimate and meets independently with Mr. Jacks separate from our management to discuss processes and findings in the reserve report. The Audit Committee can and does request reports and information from Mr. Jacks to independently verify values reported by the management team.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Oil and Natural Gas Production, Production Prices, and Production Costs. </w:t>
      </w:r>
      <w:r>
        <w:rPr>
          <w:rFonts w:ascii="Times New Roman" w:cs="Times New Roman" w:eastAsia="Times New Roman" w:hAnsi="Times New Roman"/>
          <w:sz w:val="18"/>
          <w:szCs w:val="18"/>
          <w:color w:val="auto"/>
        </w:rPr>
        <w:t>The following table sets forth certain information regarding our net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average sales prices realized and certain expenses associated with sales of oil and natural gas for the years ended December 31, 2025, 2024, and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Production Volume</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(Bbls)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112,797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256,166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(Mcfe)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311,729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958,325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164,752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415,887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Daily Average Production Volume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Oil (Bbls per day)</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(Mcfe per day)</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BOE per day</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prices realized(1)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per Bbl</w:t>
            </w:r>
          </w:p>
        </w:tc>
        <w:tc>
          <w:tcPr>
            <w:tcW w:w="13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56.54</w:t>
            </w:r>
          </w:p>
        </w:tc>
        <w:tc>
          <w:tcPr>
            <w:tcW w:w="11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per Mcfe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and natural gas per BOE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per BOE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Lease operating expenses, gathering, transportation, and treating, and</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taxes</w:t>
            </w:r>
          </w:p>
        </w:tc>
        <w:tc>
          <w:tcPr>
            <w:tcW w:w="13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35.03</w:t>
            </w:r>
          </w:p>
        </w:tc>
        <w:tc>
          <w:tcPr>
            <w:tcW w:w="11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80" w:hanging="228"/>
        <w:spacing w:after="0"/>
        <w:tabs>
          <w:tab w:leader="none" w:pos="88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Net prices realized represent actual prices realized without regard to the effects of commodity derivatives.</w:t>
      </w:r>
    </w:p>
    <w:p>
      <w:pPr>
        <w:spacing w:after="0" w:line="19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We encourage you to read this information in conjunction with the information contained in our financial statements and related notes included in this annual report on Form 10-K, at the end of Part III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regional summary of our production for the years ended December 31, 2025,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w w:val="96"/>
              </w:rPr>
              <w:t>Natural</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Natural</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Natural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Oil</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Oil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Oil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(Bbl)</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(Mcfe)</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(BOE)</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(Bbl)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(Mcfe)</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(BOE)</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(Bbl)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(Mcfe)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(BOE)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Rockies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92,343</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33,555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97,936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112,191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37,829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118,496</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146,199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84,431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South Texas,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Texas,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Gulf Coast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19,539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15,381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69,367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39,677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75,980</w:t>
            </w: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143,825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168,884</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8,328</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258,635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51,434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880,819</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221,411</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101,621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1,143,335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112,797</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311,729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164,752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256,166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958,325</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415,887</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391,645</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1,396,650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Drilling and Other Exploratory and Development Activities - Oil and Natural Gas. </w:t>
      </w:r>
      <w:r>
        <w:rPr>
          <w:rFonts w:ascii="Times New Roman" w:cs="Times New Roman" w:eastAsia="Times New Roman" w:hAnsi="Times New Roman"/>
          <w:sz w:val="18"/>
          <w:szCs w:val="18"/>
          <w:color w:val="auto"/>
        </w:rPr>
        <w:t>The Company had no oil and natural gas development or exploratory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drilling activity for the year ending December 31, 2025. For the years ending December 31, 2024 and 2023, the Company participated in 1 gross, productive well, 0.8 and 0.01 net to the Company.</w:t>
      </w:r>
    </w:p>
    <w:p>
      <w:pPr>
        <w:spacing w:after="0" w:line="176"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18"/>
          <w:szCs w:val="18"/>
          <w:color w:val="auto"/>
        </w:rPr>
        <w:t xml:space="preserve">The number of gross oil and gas wells is the total number of wells we participated in, regardless of our ownership interest in the wells. The information above should not be considered indicative of future drilling performance, nor should it be assumed that there is any correlation between the number of productive wells drilled and the amount of oil and natural gas that may ultimately be recovered. See </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in this annual report on Form 10-K.</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Present Activities. </w:t>
      </w:r>
      <w:r>
        <w:rPr>
          <w:rFonts w:ascii="Times New Roman" w:cs="Times New Roman" w:eastAsia="Times New Roman" w:hAnsi="Times New Roman"/>
          <w:sz w:val="18"/>
          <w:szCs w:val="18"/>
          <w:color w:val="auto"/>
        </w:rPr>
        <w:t>Since April 12, 2023, we have not drilled or participated in the drilling of any oil and natural gas wells, however, we are in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returning to production idle wells we acquired in 2022. The table above does not include industrial gas wells. The Company drilled one industrial gas well during the fourth quarter of 2024 and two in 2025.</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Oil and Natural Gas Properties, Acreage. </w:t>
      </w:r>
      <w:r>
        <w:rPr>
          <w:rFonts w:ascii="Times New Roman" w:cs="Times New Roman" w:eastAsia="Times New Roman" w:hAnsi="Times New Roman"/>
          <w:sz w:val="18"/>
          <w:szCs w:val="18"/>
          <w:color w:val="auto"/>
        </w:rPr>
        <w:t>The table below presents our leasehold acreage for oil and natural gas) as of December 31, 2025.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have any undeveloped oil and natural gas leasehold acreage. As of December 31, 2025, all of our acreage is held by production.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6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Area</w:t>
            </w:r>
          </w:p>
        </w:tc>
        <w:tc>
          <w:tcPr>
            <w:tcW w:w="17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Undeveloped</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gridSpan w:val="2"/>
            <w:vMerge w:val="continue"/>
          </w:tcPr>
          <w:p>
            <w:pPr>
              <w:spacing w:after="0"/>
              <w:rPr>
                <w:sz w:val="18"/>
                <w:szCs w:val="18"/>
                <w:color w:val="auto"/>
              </w:rPr>
            </w:pPr>
          </w:p>
        </w:tc>
        <w:tc>
          <w:tcPr>
            <w:tcW w:w="17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18"/>
                <w:szCs w:val="18"/>
                <w:color w:val="auto"/>
              </w:rPr>
            </w:pPr>
          </w:p>
        </w:tc>
        <w:tc>
          <w:tcPr>
            <w:tcW w:w="17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8"/>
                <w:szCs w:val="18"/>
                <w:color w:val="auto"/>
              </w:rPr>
            </w:pPr>
          </w:p>
        </w:tc>
        <w:tc>
          <w:tcPr>
            <w:tcW w:w="16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155,019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128,976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155,019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Texas, South Texas, and Gulf Coast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5,294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160,714</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160,714</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Productive Wells. </w:t>
      </w:r>
      <w:r>
        <w:rPr>
          <w:rFonts w:ascii="Times New Roman" w:cs="Times New Roman" w:eastAsia="Times New Roman" w:hAnsi="Times New Roman"/>
          <w:sz w:val="18"/>
          <w:szCs w:val="18"/>
          <w:color w:val="auto"/>
        </w:rPr>
        <w:t>As of December 31, 2025, the Company had the following gross and net productive wells by region for our oil and natural gas activities: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80" w:type="dxa"/>
            <w:vAlign w:val="bottom"/>
            <w:gridSpan w:val="7"/>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Gross Producing Wells</w:t>
            </w:r>
          </w:p>
        </w:tc>
        <w:tc>
          <w:tcPr>
            <w:tcW w:w="218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Net Producing Wells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Average Working Interest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w w:val="91"/>
              </w:rPr>
              <w:t>Oil</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Oil</w:t>
            </w:r>
          </w:p>
        </w:tc>
        <w:tc>
          <w:tcPr>
            <w:tcW w:w="118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Oil</w:t>
            </w:r>
          </w:p>
        </w:tc>
        <w:tc>
          <w:tcPr>
            <w:tcW w:w="10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Gas</w:t>
            </w: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Rockies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187</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West Texas, South Texas,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Gulf Coast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Industrial Gas Assets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Excluded from tables above are our assets related to our industrial gas project. Resulting from two acquisitions, one occurring on June 26, 2024, and another on January 7, 2025, as of December 31, 2025 we have approximately 116,384 and 80,695 gross and net acres, respectively, of leasehold on the Kevin Dome in Toole County, Montana.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Space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we have leased office space for our Company headquarters in Houston, Texas of 11,000 square feet. The lease is described in greater detail in “</w:t>
      </w:r>
      <w:r>
        <w:rPr>
          <w:rFonts w:ascii="Times New Roman" w:cs="Times New Roman" w:eastAsia="Times New Roman" w:hAnsi="Times New Roman"/>
          <w:sz w:val="18"/>
          <w:szCs w:val="18"/>
          <w:i w:val="1"/>
          <w:iCs w:val="1"/>
          <w:color w:val="auto"/>
        </w:rPr>
        <w:t>Note 4. Leases</w:t>
      </w:r>
      <w:r>
        <w:rPr>
          <w:rFonts w:ascii="Times New Roman" w:cs="Times New Roman" w:eastAsia="Times New Roman" w:hAnsi="Times New Roman"/>
          <w:sz w:val="18"/>
          <w:szCs w:val="18"/>
          <w:color w:val="auto"/>
        </w:rPr>
        <w:t>”, to the footnotes to the financial statements included herein. We also own a 1,200 square-foot office building in Cutbank, Montana.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its existing facilities and equipment are in good operating condition and are suitable for the conduct of its business.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From time to time, we may become party to litigation or other legal proceedings that we consider to be a part of the ordinary course of our business. We are not currently involved in any legal proceedings that we believe could reasonably be expected to have a material adverse effect on our business, prospects, financial condition or results of operations. We may become involved in material legal proceedings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Contingencies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industrial gas, natural gas and oil businesses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In the event we believe that economic losses are probable and reasonably estimable, we establish environmental reserves.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“USEG”.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6, 2026, we had 44,269,192 shares of common stock issued and outstanding held by approximately 261 stockholders of record.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9, 2023, the Board of Directors determined it appropriate to suspend dividend or distribution payments, with the associated future capital resources being allocated towards the Company’s share repurchase program, repayments of the outstanding balance on our credit facility and other Company initiatives. The Board of Directors may or may not reinstate future payments in the future, the amount and frequency of which will be determined at the sole discretion of the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were no sales of unregistered securities during the year ended December 31, 2025. For the period from January 1, 2025 to the filing date of this report, we sold approximately 8.5 million shares which have previously been reported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share repurchase activity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5"/>
        </w:trPr>
        <w:tc>
          <w:tcPr>
            <w:tcW w:w="5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5"/>
        </w:trPr>
        <w:tc>
          <w:tcPr>
            <w:tcW w:w="5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Price Paid Per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w w:val="99"/>
              </w:rPr>
              <w:t>Programs</w:t>
            </w:r>
            <w:r>
              <w:rPr>
                <w:rFonts w:ascii="Times New Roman" w:cs="Times New Roman" w:eastAsia="Times New Roman" w:hAnsi="Times New Roman"/>
                <w:sz w:val="27"/>
                <w:szCs w:val="27"/>
                <w:b w:val="1"/>
                <w:bCs w:val="1"/>
                <w:color w:val="auto"/>
                <w:w w:val="99"/>
                <w:vertAlign w:val="superscript"/>
              </w:rPr>
              <w:t>(1)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17"/>
                <w:szCs w:val="17"/>
                <w:b w:val="1"/>
                <w:bCs w:val="1"/>
                <w:color w:val="auto"/>
                <w:w w:val="99"/>
              </w:rPr>
              <w:t>Programs</w:t>
            </w:r>
            <w:r>
              <w:rPr>
                <w:rFonts w:ascii="Times New Roman" w:cs="Times New Roman" w:eastAsia="Times New Roman" w:hAnsi="Times New Roman"/>
                <w:sz w:val="27"/>
                <w:szCs w:val="27"/>
                <w:b w:val="1"/>
                <w:bCs w:val="1"/>
                <w:color w:val="auto"/>
                <w:w w:val="99"/>
                <w:vertAlign w:val="superscript"/>
              </w:rPr>
              <w:t>(1)</w:t>
            </w:r>
          </w:p>
        </w:tc>
        <w:tc>
          <w:tcPr>
            <w:tcW w:w="100" w:type="dxa"/>
            <w:vAlign w:val="bottom"/>
          </w:tcPr>
          <w:p>
            <w:pPr>
              <w:spacing w:after="0"/>
              <w:rPr>
                <w:sz w:val="20"/>
                <w:szCs w:val="20"/>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1st to October 31st, 2025</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3,514,370</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November 1st to November 30th, 2025</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3,514,370</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1st to December 31st, 2025</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3,514,370</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3,514,370</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60" w:hanging="319"/>
        <w:spacing w:after="0" w:line="233" w:lineRule="auto"/>
        <w:tabs>
          <w:tab w:leader="none" w:pos="64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On April 26, 2023, the Board of Directors of the Company authorized and approved a share repurchase program for up to $5.0 million of the currently outstanding shares of the Company’s common stock, which was originally extended on March 19, 2024 and more recently extended on January 29, 2025. Subject to any future extensions, the repurchase program is scheduled to expire on June 30, 2026, when a maximum of $5.0 million of the Company’s common stock has been repurchased, or when the program is discontinued by the Company. Under the stock repurchase program, shares may be repurchased from time to time in the open market or through negotiated transactions at prevailing market rates,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program does not obligate the Company to acquire a minimum amount of shares.</w:t>
      </w:r>
    </w:p>
    <w:p>
      <w:pPr>
        <w:spacing w:after="0" w:line="7" w:lineRule="exact"/>
        <w:rPr>
          <w:sz w:val="20"/>
          <w:szCs w:val="20"/>
          <w:color w:val="auto"/>
        </w:rPr>
      </w:pPr>
    </w:p>
    <w:p>
      <w:pPr>
        <w:ind w:left="660" w:right="400" w:hanging="321"/>
        <w:spacing w:after="0" w:line="182" w:lineRule="auto"/>
        <w:rPr>
          <w:sz w:val="20"/>
          <w:szCs w:val="20"/>
          <w:color w:val="auto"/>
        </w:rPr>
      </w:pPr>
      <w:r>
        <w:rPr>
          <w:rFonts w:ascii="Times New Roman" w:cs="Times New Roman" w:eastAsia="Times New Roman" w:hAnsi="Times New Roman"/>
          <w:sz w:val="37"/>
          <w:szCs w:val="37"/>
          <w:color w:val="auto"/>
          <w:vertAlign w:val="subscript"/>
        </w:rPr>
        <w:t>(2)</w:t>
      </w:r>
      <w:r>
        <w:rPr>
          <w:rFonts w:ascii="Times New Roman" w:cs="Times New Roman" w:eastAsia="Times New Roman" w:hAnsi="Times New Roman"/>
          <w:sz w:val="20"/>
          <w:szCs w:val="20"/>
          <w:color w:val="auto"/>
        </w:rPr>
        <w:t xml:space="preserve"> See our Consolidated Statements of Changes in Shareholders' Equity for a full roll forward of share activity during the year ended December 31, 2025.</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discussion includes forward-looking statements. Please refer to “</w:t>
      </w:r>
      <w:r>
        <w:rPr>
          <w:rFonts w:ascii="Times New Roman" w:cs="Times New Roman" w:eastAsia="Times New Roman" w:hAnsi="Times New Roman"/>
          <w:sz w:val="18"/>
          <w:szCs w:val="18"/>
          <w:u w:val="single" w:color="auto"/>
          <w:color w:val="0000EE"/>
        </w:rPr>
        <w:t>Cautionary Statement Regarding Forward-Looking Statements</w:t>
      </w:r>
      <w:r>
        <w:rPr>
          <w:rFonts w:ascii="Times New Roman" w:cs="Times New Roman" w:eastAsia="Times New Roman" w:hAnsi="Times New Roman"/>
          <w:sz w:val="18"/>
          <w:szCs w:val="18"/>
          <w:color w:val="auto"/>
        </w:rPr>
        <w:t>” of this annual report on Form 10-K for important information about these types of statements and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above. Additionally, please refer to the “</w:t>
      </w:r>
      <w:r>
        <w:rPr>
          <w:rFonts w:ascii="Times New Roman" w:cs="Times New Roman" w:eastAsia="Times New Roman" w:hAnsi="Times New Roman"/>
          <w:sz w:val="18"/>
          <w:szCs w:val="18"/>
          <w:u w:val="single" w:color="auto"/>
          <w:color w:val="0000EE"/>
        </w:rPr>
        <w:t>Glossary of Oil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Natural Gas Terms</w:t>
      </w:r>
      <w:r>
        <w:rPr>
          <w:rFonts w:ascii="Times New Roman" w:cs="Times New Roman" w:eastAsia="Times New Roman" w:hAnsi="Times New Roman"/>
          <w:sz w:val="18"/>
          <w:szCs w:val="18"/>
          <w:color w:val="000000"/>
        </w:rPr>
        <w:t>” of this annual report on Form 10-K for oil and natural gas industry terminology used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Information Contained in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(MD&amp;A) is provided in addition to the accompanying consolidated financial statements and notes to assist readers in understanding our results of operations, financial condition, and cash flows. MD&amp;A is organized as follows:</w:t>
      </w:r>
    </w:p>
    <w:p>
      <w:pPr>
        <w:spacing w:after="0" w:line="173" w:lineRule="exact"/>
        <w:rPr>
          <w:sz w:val="20"/>
          <w:szCs w:val="20"/>
          <w:color w:val="auto"/>
        </w:rPr>
      </w:pPr>
    </w:p>
    <w:p>
      <w:pPr>
        <w:ind w:left="660" w:hanging="330"/>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Operations and Strategy</w:t>
      </w:r>
      <w:r>
        <w:rPr>
          <w:rFonts w:ascii="Times New Roman" w:cs="Times New Roman" w:eastAsia="Times New Roman" w:hAnsi="Times New Roman"/>
          <w:sz w:val="18"/>
          <w:szCs w:val="18"/>
          <w:color w:val="auto"/>
        </w:rPr>
        <w:t>. Discussion of our strategy moving forward and how we plan to seek to increase stockholder value.</w:t>
      </w:r>
    </w:p>
    <w:p>
      <w:pPr>
        <w:spacing w:after="0" w:line="276" w:lineRule="exact"/>
        <w:rPr>
          <w:rFonts w:ascii="Times New Roman" w:cs="Times New Roman" w:eastAsia="Times New Roman" w:hAnsi="Times New Roman"/>
          <w:sz w:val="18"/>
          <w:szCs w:val="18"/>
          <w:color w:val="auto"/>
        </w:rPr>
      </w:pPr>
    </w:p>
    <w:p>
      <w:pPr>
        <w:ind w:left="660" w:hanging="330"/>
        <w:spacing w:after="0" w:line="28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 Accounting estimates that we believe are important to understanding the assumptions and judgments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our reported financial results and forecasts.</w:t>
      </w:r>
    </w:p>
    <w:p>
      <w:pPr>
        <w:spacing w:after="0" w:line="18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An analysis of our financial results comparing the years ended December 31, 2025 and 2024.</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A discussion of our financial condition, including descriptions of balance sheet information and cash flows.</w:t>
      </w:r>
    </w:p>
    <w:p>
      <w:pPr>
        <w:sectPr>
          <w:pgSz w:w="11900" w:h="16838" w:orient="portrait"/>
          <w:cols w:equalWidth="0" w:num="1">
            <w:col w:w="11240"/>
          </w:cols>
          <w:pgMar w:left="320" w:top="121" w:right="339" w:bottom="775"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77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 and Strategy</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2026 and beyond, we intend to seek additional opportunities in the oil, natural gas and industrial gas sectors, including but not limited to further acquisition of assets, participation with industry partners, and the acquisition of existing companies. We also plan to finalize the detailed engineering of our processing facility and related activities necessary to bring the plant online. These activities include but are not limited to acquiring surface acreage, negotiating rights of way and offtake agreements, designing power infrastructure, and raise capital to fully fund development.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business strategy include:</w:t>
      </w:r>
    </w:p>
    <w:p>
      <w:pPr>
        <w:spacing w:after="0" w:line="221" w:lineRule="exact"/>
        <w:rPr>
          <w:sz w:val="20"/>
          <w:szCs w:val="20"/>
          <w:color w:val="auto"/>
        </w:rPr>
      </w:pPr>
    </w:p>
    <w:p>
      <w:pPr>
        <w:jc w:val="both"/>
        <w:ind w:left="660" w:right="20" w:hanging="330"/>
        <w:spacing w:after="0" w:line="26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Deploy our Capital in a Conservative and Strategic Manner and Review Opportunities to Bolster our Liquidity</w:t>
      </w:r>
      <w:r>
        <w:rPr>
          <w:rFonts w:ascii="Times New Roman" w:cs="Times New Roman" w:eastAsia="Times New Roman" w:hAnsi="Times New Roman"/>
          <w:sz w:val="18"/>
          <w:szCs w:val="18"/>
          <w:color w:val="auto"/>
        </w:rPr>
        <w:t>. In the current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maintaining liquidity is critical. Therefore, we plan to be highly selective in the projects we evaluate and to review opportunities to bolster our liquidity and financial position through various means.</w:t>
      </w:r>
    </w:p>
    <w:p>
      <w:pPr>
        <w:spacing w:after="0" w:line="201" w:lineRule="exact"/>
        <w:rPr>
          <w:rFonts w:ascii="Times New Roman" w:cs="Times New Roman" w:eastAsia="Times New Roman" w:hAnsi="Times New Roman"/>
          <w:sz w:val="18"/>
          <w:szCs w:val="18"/>
          <w:color w:val="auto"/>
        </w:rPr>
      </w:pPr>
    </w:p>
    <w:p>
      <w:pPr>
        <w:ind w:left="660" w:right="20" w:hanging="330"/>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Evaluate and Pursue Value-Enhancing Transactions</w:t>
      </w:r>
      <w:r>
        <w:rPr>
          <w:rFonts w:ascii="Times New Roman" w:cs="Times New Roman" w:eastAsia="Times New Roman" w:hAnsi="Times New Roman"/>
          <w:sz w:val="18"/>
          <w:szCs w:val="18"/>
          <w:color w:val="auto"/>
        </w:rPr>
        <w:t>. We plan to continuously evaluate strategic alternative opportunities with the goal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stockholder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in conformity with GAAP requires us to make assumptions and estimates that affect the reported amounts of assets, liabilities, revenues and expenses, as well as the disclosure of contingent assets and liabilities at the date of our financial statements and the reported amounts of revenues and expenses during the reporting period. Actual results may differ from these estimates under different assumptions or conditions. A summary of our significant accounting policies is detailed in </w:t>
      </w:r>
      <w:r>
        <w:rPr>
          <w:rFonts w:ascii="Times New Roman" w:cs="Times New Roman" w:eastAsia="Times New Roman" w:hAnsi="Times New Roman"/>
          <w:sz w:val="18"/>
          <w:szCs w:val="18"/>
          <w:u w:val="single" w:color="auto"/>
          <w:color w:val="0000EE"/>
        </w:rPr>
        <w:t>Note 1 – Organization, Operations and Significant Accounting Policies</w:t>
      </w:r>
      <w:r>
        <w:rPr>
          <w:rFonts w:ascii="Times New Roman" w:cs="Times New Roman" w:eastAsia="Times New Roman" w:hAnsi="Times New Roman"/>
          <w:sz w:val="18"/>
          <w:szCs w:val="18"/>
          <w:color w:val="auto"/>
        </w:rPr>
        <w:t xml:space="preserve"> of our consolidated financial statements. We have outlined below those policies identified as being critical to the understanding of our business and results of operations and that require the application of significant management judgment.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Reserve Estimates. </w:t>
      </w:r>
      <w:r>
        <w:rPr>
          <w:rFonts w:ascii="Times New Roman" w:cs="Times New Roman" w:eastAsia="Times New Roman" w:hAnsi="Times New Roman"/>
          <w:sz w:val="18"/>
          <w:szCs w:val="18"/>
          <w:color w:val="auto"/>
        </w:rPr>
        <w:t>Our estimates of proved reserves are based on quantities of oil and natural gas reserves which current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indicates are recoverable from known reservoirs under existing economic and operating conditions. Estimates of proved reserves are critical estimates in determining our depreciation, depletion and amortization expense (“DD&amp;A”) and our full cost ceiling limitation (“Full Cost Ceiling”). Future cash inflows are determined by applying oil and natural gas prices, as adjusted for transportation, quality and basis differentials to the estimated quantities of proved reserves remaining to be produced as of the end of that period. Future production and development costs are based on costs existing at the effective date of the report. Expected cash flows are discounted to present value using a prescribed discount rate of 10% per annum.</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Estimates of proved reserves are inherently imprecise because of uncertainties in projecting rates of production and timing of developmental expenditures, interpretations of geological, geophysical, engineering and production data and the quality and quantity of available data. Changing economic conditions also may affect our estimates of proved reserves due to changes in developmental costs and changes in commodity prices that may impact reservoir economics. We utilize independent reserve engineers to estimate our proved reserves at the end of each fiscal quarter during the year.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Oil and Natural Gas Properties. </w:t>
      </w:r>
      <w:r>
        <w:rPr>
          <w:rFonts w:ascii="Times New Roman" w:cs="Times New Roman" w:eastAsia="Times New Roman" w:hAnsi="Times New Roman"/>
          <w:sz w:val="18"/>
          <w:szCs w:val="18"/>
          <w:color w:val="auto"/>
        </w:rPr>
        <w:t>We follow the full cost method in accounting for our oil and natural gas properties. Under the full cost method, all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acquisition, exploration and development of oil and natural gas properties are capitalized and accumulated in a country-wide cost center. This includes any internal costs that are directly related to development and exploration activities, but does not include any costs related to production, general corporate overhead or similar activities.</w:t>
      </w:r>
    </w:p>
    <w:p>
      <w:pPr>
        <w:spacing w:after="0" w:line="180"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sum of net capitalized costs and estimated future development and dismantlement costs for each country-wide cost center are amortized using the equivalent unit-of-production method, based on proved oil and natural gas reserves. The capitalized costs are amortized over the life of the reserves associated with the assets, with the DD&amp;A recognized in the period that the reserves are produced. DD&amp;A is calculated by dividing the period’s production volumes by the estimated volume of reserves associated with the investment and multiplying the calculated percentage by the sum of the capitalized investment and estimated future development costs associated with the investment. Changes in our reserve estimates will therefore result in changes in our DD&amp;A per unit. Costs associated with production and general corporate activities are expensed in the period incurred.</w:t>
      </w:r>
    </w:p>
    <w:p>
      <w:pPr>
        <w:spacing w:after="0" w:line="18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Under the full cost method of accounting, capitalized oil and natural gas property costs less accumulated DD&amp;A and net of deferred income taxes may not exceed the Full Cost Ceiling. The Full Cost Ceiling is equal to the present value, discounted at 10%, of estimated future net revenues from proved oil and natural gas reserves plus the unimpaired cost of unproved properties not subject to amortization, plus the lower of cost or fair value of unproved properties that are subject to amortization. When net capitalized costs exceed the Full Cost Ceiling, an impairment is recognized.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Industrial Gas Properties. </w:t>
      </w:r>
      <w:r>
        <w:rPr>
          <w:rFonts w:ascii="Times New Roman" w:cs="Times New Roman" w:eastAsia="Times New Roman" w:hAnsi="Times New Roman"/>
          <w:sz w:val="18"/>
          <w:szCs w:val="18"/>
          <w:color w:val="auto"/>
        </w:rPr>
        <w:t>The Company capitalizes all costs associated with the acquisition, exploration and development of industrial gas reserves.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leases, cost of acquiring drilling permits, drilling, development and asset retirement costs are capitalized as exploration and unevaluated assets. When commercially viable quantities of industrial gas reserves are discovered, the associated costs are reclassified to evaluated assets. The Company will periodically assess exploration and unevaluated assets, and upon evaluation, will reclass the assets to evaluated. Any additional costs to develop the asset or to construct infrastructure to produce and process industrial gases, including processing plant construction costs, will also be capitalized as evaluated. Interest expense, if any, is capitalized on qualifying expenditures. Evaluated industrial gas assets are subject to depreciation, depletion and amortization once production commences utilizing the units of production method. Evaluated industrial gas assets are stated at cost, less accumulated depletion, depreciation and amortization.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carrying value of evaluated assets is reviewed for impairment when there are indications that the asset may not be recoverable due to significant and prolonged declines in prices, significant reductions in estimated resources, changes in the Company’s plans or other significant events that indicate that an impairment may exist. If any such indication of impairment exists and the sum of the undiscounted cash flows is less than the carrying value of the evaluated property, the carrying value is reduced to estimated fair value and reported as an impairment charge in the period with a reduction in the associated carrying cost. Individual evaluated properties are grouped for impairment purposes at the lowest level for which there are identifiable cash flows. The fair value of impaired assets is typically determined based on the present value of expected future cash flows using discount rates believed to be consistent with market participants. The impairment test incorporates several assumptions involving expectations of future cash flows which can change significantly over time. These assumptions include estimates of future production, future contracted industrial gas prices, estimates of future operating and development costs.</w:t>
      </w:r>
    </w:p>
    <w:p>
      <w:pPr>
        <w:spacing w:after="0" w:line="18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Divestitures. </w:t>
      </w:r>
      <w:r>
        <w:rPr>
          <w:rFonts w:ascii="Times New Roman" w:cs="Times New Roman" w:eastAsia="Times New Roman" w:hAnsi="Times New Roman"/>
          <w:sz w:val="18"/>
          <w:szCs w:val="18"/>
          <w:color w:val="auto"/>
        </w:rPr>
        <w:t>For divestitures involving oil and gas assets included in the full cost pool, the Company evaluates if a given divestiture has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to either our reserves volumes or the full cost pool unit-of-production depletion rate. If a divestiture has a significant impact to reserves volumes or the full cost pool depletion rate, the Company will consider if recognizing gain or loss on the transaction is appropriate. If a divestiture does not have a significant impact to reserves volumes or the full cost pool depletion rate, the Company records proceeds, net of transaction costs and purchase price adjustments, to the full cost pool, with no gain or loss recognized on the consolidated statements of operations. Relief of any associated asset retirement obligations are also recorded to the full cost pool. Revenue and expenditures are recorded following our standard accounting policies up until the month that a divestment closes.</w:t>
      </w:r>
    </w:p>
    <w:p>
      <w:pPr>
        <w:spacing w:after="0" w:line="186" w:lineRule="exact"/>
        <w:rPr>
          <w:sz w:val="20"/>
          <w:szCs w:val="20"/>
          <w:color w:val="auto"/>
        </w:rPr>
      </w:pPr>
    </w:p>
    <w:p>
      <w:pPr>
        <w:jc w:val="both"/>
        <w:ind w:left="20"/>
        <w:spacing w:after="0" w:line="313"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We recognize revenue in accordance with Financial Accounting Standards Board ("FASB") Accounting Standards Codification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("ASC") Topic 606-</w:t>
      </w:r>
      <w:r>
        <w:rPr>
          <w:rFonts w:ascii="Times New Roman" w:cs="Times New Roman" w:eastAsia="Times New Roman" w:hAnsi="Times New Roman"/>
          <w:sz w:val="17"/>
          <w:szCs w:val="17"/>
          <w:i w:val="1"/>
          <w:iCs w:val="1"/>
          <w:color w:val="auto"/>
        </w:rPr>
        <w:t>Revenue from Contracts with Customers. 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0000EE"/>
        </w:rPr>
        <w:t>Note 3- Revenue From Contracts With Customers</w:t>
      </w:r>
      <w:r>
        <w:rPr>
          <w:rFonts w:ascii="Times New Roman" w:cs="Times New Roman" w:eastAsia="Times New Roman" w:hAnsi="Times New Roman"/>
          <w:sz w:val="17"/>
          <w:szCs w:val="17"/>
          <w:color w:val="auto"/>
        </w:rPr>
        <w:t xml:space="preserve"> to our consolidated financial statements.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 xml:space="preserve">Please refer to the section entitled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u w:val="single" w:color="auto"/>
          <w:color w:val="0000EE"/>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Organization, Operations and Significant Accounting Policies</w:t>
      </w:r>
      <w:r>
        <w:rPr>
          <w:rFonts w:ascii="Times New Roman" w:cs="Times New Roman" w:eastAsia="Times New Roman" w:hAnsi="Times New Roman"/>
          <w:sz w:val="18"/>
          <w:szCs w:val="18"/>
          <w:color w:val="auto"/>
        </w:rPr>
        <w:t xml:space="preserve"> to our consolidated financial statements, for additional information on recently issued accounting standards and our plans for adoption of those standards.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our Statements of Operations for the Years Ended December 31, 2025 and 2024</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we recorded a net loss of $14.4 million. The net loss is primarily due to a reduction in revenue of $13.3 million (discussed below), ceiling test impairment of $3.6 million of the Company's oil and gas properties, lower production volumes resulting from cumulative divestments, lower realized sales price for our production and increasing lease operating expense on a BOE basis. During the year ended December 31, 2024, we recorded a net loss of $25.6 million including an $11.9 million ceiling test impairment.</w:t>
      </w:r>
    </w:p>
    <w:p>
      <w:pPr>
        <w:spacing w:after="0" w:line="3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following sections we discuss our revenue, operating expenses, and non-operating income (expense) for the year ended December 31, 2025 compared to the year ended December 31, 2024.</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Presented below is a comparison of our oil and natural gas sales, production quantities and average sales prices for the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(dollars in thousands, except average sales prices):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Oil</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(11,787)</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(13,266)</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Production quantities: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Oil (Bbls)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(143,369)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Gas (Mcfe)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(646,596)</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(251,135)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BOE per day</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Oil (Bbls)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Gas (Mcfe)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decrease in our oil and gas revenue of $13.3 million for the year ended December 31, 2025, as compared to the year ended December 31, 2024, was due to decreases in both production quantities and commodity prices. The realized price received for our oil production decreased 20% and the realized price received for our natural gas production increased 22% for the year ended December 31, 2025, compared to the year ended December 31, 2024.</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we produced 164,752 BOE, or an average of 451 BOE per day, as compared to 415,887 BOE or 1,136 BOE per day, during the comparable period in 2024. Our oil production decreased 56% and our natural gas production decreased 67% compared to the prior year period. Production declines were primarily the result of property sales during 2025 and 2024. During the year ended December 31, 2025, our BOE production mix was 68% oil and 32% natural gas and liquids, consistent with 62% oil and 38% natural gas and liquids during 2024.</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Oil and Natural Gas Production Costs. </w:t>
      </w:r>
      <w:r>
        <w:rPr>
          <w:rFonts w:ascii="Times New Roman" w:cs="Times New Roman" w:eastAsia="Times New Roman" w:hAnsi="Times New Roman"/>
          <w:sz w:val="18"/>
          <w:szCs w:val="18"/>
          <w:color w:val="auto"/>
        </w:rPr>
        <w:t>Presented below is a comparison of our oil and natural gas production costs for the years ended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5,174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(5,986)</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transportation, and treating</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5,772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(6,806)</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vMerge w:val="restart"/>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vMerge w:val="continue"/>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Lease operating expense per BOE</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31.40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aggregate lease operating expenses decreased as a result of divestitures in 2025 and 2024. On a per BOE basis, lease operating expense increased $4.57 per BOE produced relative to 2024. The increase in lease operating expense on a per BOE basis is in part due to inflation and due to the fixed cost components of our lease operating expense becoming a larger portion of total costs as we have divested of lower cost properties and a result of natural production declines.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Gathering, transportation, and treating costs decreased $146 thousand or 71%, for the year ended December 31, 2025 compared to 2024. The decrease was attributable to the divestitures of operated properties in 2025 and 2024.</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Production taxes for our properties typically average 7% of revenue. Any change in the production taxes is attributable to revenue changes resulting from changes in production volumes and realized prices year to year.</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Accretion and Amortization. </w:t>
      </w:r>
      <w:r>
        <w:rPr>
          <w:rFonts w:ascii="Times New Roman" w:cs="Times New Roman" w:eastAsia="Times New Roman" w:hAnsi="Times New Roman"/>
          <w:sz w:val="18"/>
          <w:szCs w:val="18"/>
          <w:color w:val="auto"/>
        </w:rPr>
        <w:t>DD&amp;A was $3.6 million for the year ended December 31, 2025, compared to $8.3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Our depreciation, depletion, and amortization ("DD&amp;A") includes depletion expense on our oil and gas properties, accretion expense on our asset retirement obligations, and depreciation expense on our fixed assets. Depletion expenses on our oil and gas properties are the primary driver of DD&amp;A expense making up 63% and 78% of DD&amp;A expense for the years ended December 31, 2025 and 2024, respectively. Our depletion rate for the year ended December 31, 2025, was $21.89 per BOE, compared to $19.64 per BOE for the year ended December 31, 2024. Our depletion rate fluctuates because of the impact of divestitures, impairments on the full cost pool, but other factors such as acquisitions, revisions in asset retirement obligation cost estimates or timing, and underlying proved reserve volumes can also impact the rate.</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Impairment of oil and natural gas properties. </w:t>
      </w:r>
      <w:r>
        <w:rPr>
          <w:rFonts w:ascii="Times New Roman" w:cs="Times New Roman" w:eastAsia="Times New Roman" w:hAnsi="Times New Roman"/>
          <w:sz w:val="18"/>
          <w:szCs w:val="18"/>
          <w:color w:val="auto"/>
        </w:rPr>
        <w:t>Ceiling test impairment of $3.6 million during the year ended December 31, 2025 was incurred as a result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crude oil and natural gas prices. For the year ended December 31, 2024, the Company recorded ceiling test impairment of its oil and natural gas properties of $11.9 million as a result of a decrease in crude oil and natural gas prices and the reduction in reserves from divestitures.</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Exploration expense. </w:t>
      </w:r>
      <w:r>
        <w:rPr>
          <w:rFonts w:ascii="Times New Roman" w:cs="Times New Roman" w:eastAsia="Times New Roman" w:hAnsi="Times New Roman"/>
          <w:sz w:val="18"/>
          <w:szCs w:val="18"/>
          <w:color w:val="auto"/>
        </w:rPr>
        <w:t>For the years ended December 31, 2025 and 2024, exploration expense consisted primarily of professional fees and other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evaluating potential acquisitions, including land title review, regulatory consultations and geological assessments. These costs do not qualify for capitalization under the full cost method and are therefore expensed as incurred. Exploration expense decreased by $139 thousand in 2025 compared to 2024, primarily due to a higher level of acquisition evaluation activity during 2024.</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Presented below is a comparison of our general and administrative expenses for the years ended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 (in thousands):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 including directors</w:t>
            </w:r>
          </w:p>
        </w:tc>
        <w:tc>
          <w:tcPr>
            <w:tcW w:w="13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2,596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insurance and other</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8,064</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$132 thousand during the year ended December 31, 2025, as compared to the prior year period. Compensation and benefits decreased $1.3 million due to decreased headcount as the Company focused on the development of the industrial gas business. Stock-based compensation increased $586 thousand primarily due to grant prices used in prior employee and director stock-based compensation awards that amortized during 2025. Professional fees, insurance and other expenses increased $557 thousand, primarily due to professional fees associated with outsourcing a portion of our accounting function.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Loss on sale of assets. </w:t>
      </w:r>
      <w:r>
        <w:rPr>
          <w:rFonts w:ascii="Times New Roman" w:cs="Times New Roman" w:eastAsia="Times New Roman" w:hAnsi="Times New Roman"/>
          <w:sz w:val="18"/>
          <w:szCs w:val="18"/>
          <w:color w:val="auto"/>
        </w:rPr>
        <w:t>During the year ended December 31, 2025, we recognized a $411 thousand related to the final settlement on our sale of our 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properties.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Non-Operating Income (Expense). </w:t>
      </w:r>
      <w:r>
        <w:rPr>
          <w:rFonts w:ascii="Times New Roman" w:cs="Times New Roman" w:eastAsia="Times New Roman" w:hAnsi="Times New Roman"/>
          <w:sz w:val="18"/>
          <w:szCs w:val="18"/>
          <w:color w:val="auto"/>
        </w:rPr>
        <w:t>Presented below is a comparison of our non-operating income (expense) for the years ended December 31,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(in thousands):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 gain (loss), net</w:t>
            </w:r>
          </w:p>
        </w:tc>
        <w:tc>
          <w:tcPr>
            <w:tcW w:w="17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non-operating expense</w:t>
            </w:r>
          </w:p>
        </w:tc>
        <w:tc>
          <w:tcPr>
            <w:tcW w:w="9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Commodity derivative gain (loss), net is the result of changes in derivative fair values associated with fluctuations in forward price curves for the commodities underlying our outstanding derivative contracts and the monthly cash settlements of our derivative positions during the period. During 2024, the Company settled all of its then outstanding commodity derivative contracts and received proceeds of $1.8 million. As of and for the year ended December 31, 2025, the Company had no derivative positions.</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right="20"/>
        <w:spacing w:after="0" w:line="264" w:lineRule="auto"/>
        <w:rPr>
          <w:sz w:val="20"/>
          <w:szCs w:val="20"/>
          <w:color w:val="auto"/>
        </w:rPr>
      </w:pPr>
      <w:r>
        <w:rPr>
          <w:rFonts w:ascii="Times New Roman" w:cs="Times New Roman" w:eastAsia="Times New Roman" w:hAnsi="Times New Roman"/>
          <w:sz w:val="18"/>
          <w:szCs w:val="18"/>
          <w:color w:val="auto"/>
        </w:rPr>
        <w:t>Interest expense, net, represents the interest related to our Credit Facility. The decrease in interest expense, net is primarily driven by a decrease in the outstanding principal balance on our credit facility as we have paid down the amount borrowed on the facility with proceeds from the divestments of properties. As of December 31, 2025, we had borrowed $2.5 million on the credit facility as compared to zero outstanding as of December 31, 2024.</w:t>
      </w:r>
    </w:p>
    <w:p>
      <w:pPr>
        <w:spacing w:after="0" w:line="177"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Other income (expense), net is primarily impacted from changes in the fair value of our investment in Anfield Energy. We recognized a net gain of $199 thousand on these items for the year ended December 31, 2025, but recognized a loss of $33 thousand for the comparable period of 2024.</w:t>
      </w:r>
    </w:p>
    <w:p>
      <w:pPr>
        <w:spacing w:after="0" w:line="16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The Company generated losses for income tax purposes in 2025 and 2024, and any additional net deferred income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offset by a corresponding valuation allowance.</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Based on the current commodity price environment and our current working capital, we believe we have sufficient liquidity and capital resources to meet our current financial obligations. We continue to manage our commitments in order to maintain flexibility with regard to our activity level and capital expenditures.</w:t>
      </w:r>
    </w:p>
    <w:p>
      <w:pPr>
        <w:spacing w:after="0" w:line="17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During 2026, the Company expects to seek financing in the equity and credit markets to fund the construction of its gas processing plant, production gathering and related utility infrastructure. The estimated cost of this next development phase is approximately $35.0 million. The Company may sell equity under its existing Form S-3 registration statement, and/or sell equity under the purchase agreement with Roth Principal; however, no financing commitments have been secured to date, other than the purchase agreement. Such funding may not be available on favorable terms, or at all, and any equity funding raised may be dilutive to existing stockholders. If the Company is unable to obtain sufficient financing on acceptable terms, the timing or scope of this development phase may be delayed or modified.</w:t>
      </w:r>
    </w:p>
    <w:p>
      <w:pPr>
        <w:spacing w:after="0" w:line="18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We anticipate funding our day-to-day expenditures primarily with cash on hand, operating or investing cash inflows, and if necessary, borrowings under our credit facility or purchase agreement. If readily available sources of cash flow are insufficient to fund our capital needs, we may utilize equity and credit markets as a funding mechanism. In the event we sell equity, such sales may cause dilution to existing stockholders.</w:t>
      </w:r>
    </w:p>
    <w:p>
      <w:pPr>
        <w:spacing w:after="0" w:line="17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All of our sources of liquidity can be affected by the changes in economic conditions, rising interest rates, changes in debt and equity markets, force majeure events, fluctuations in commodity prices, operating costs, tax law changes, and volumes produced, all of which would affect us and our industry.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 xml:space="preserve">For the year ended December 31, 2025, we funded our capital expenditures with cash on hand, proceeds from the divestitures of oil and gas producing properties and borrowings under our credit facility. In January 2025, we raised net proceeds of $10.3 million after the related party share Repurchase in an underwritten offering of 4,236,000 shares of our common stock discussed in greater detail above under </w:t>
      </w:r>
      <w:r>
        <w:rPr>
          <w:rFonts w:ascii="Times New Roman" w:cs="Times New Roman" w:eastAsia="Times New Roman" w:hAnsi="Times New Roman"/>
          <w:sz w:val="18"/>
          <w:szCs w:val="18"/>
          <w:u w:val="single" w:color="auto"/>
          <w:color w:val="0000EE"/>
        </w:rPr>
        <w:t>"Item 1. Business—Material Events—Underwritten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Offering" and "—Related Party Shares Repurchase"</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23" w:lineRule="exact"/>
        <w:rPr>
          <w:sz w:val="20"/>
          <w:szCs w:val="20"/>
          <w:color w:val="auto"/>
        </w:rPr>
      </w:pPr>
    </w:p>
    <w:p>
      <w:pPr>
        <w:jc w:val="both"/>
        <w:ind w:left="20"/>
        <w:spacing w:after="0" w:line="273" w:lineRule="auto"/>
        <w:rPr>
          <w:sz w:val="20"/>
          <w:szCs w:val="20"/>
          <w:color w:val="auto"/>
        </w:rPr>
      </w:pPr>
      <w:r>
        <w:rPr>
          <w:rFonts w:ascii="Times New Roman" w:cs="Times New Roman" w:eastAsia="Times New Roman" w:hAnsi="Times New Roman"/>
          <w:sz w:val="17"/>
          <w:szCs w:val="17"/>
          <w:color w:val="auto"/>
        </w:rPr>
        <w:t>On January 5, 2022, we entered into a four-year credit agreement with FirstBank Southwest as administrative agent, which provides for a revolving line of credit with a borrowing base of $20 million, and a maximum credit amount of $100 million. Under the Credit Agreement, revolving loans may be borrowed, repaid and re-borrowed until January 5, 2026, when all outstanding amounts must be repaid. The Credit Agreement contains customary indemnification requirements, representations and warranties and customary affirmative and negative covenants applicable to the Company and its subsidiaries. In addition, the Credit Agreement contains financial covenants that limit our ratio of total debt to EBITDAX (as defined in the Credit Agreement) to 3:1 and require our ratio of consolidated current assets to consolidated current liabilities (as each is described in the Credit Agreement) to remain at 1:1 or higher.</w:t>
      </w:r>
    </w:p>
    <w:p>
      <w:pPr>
        <w:spacing w:after="0" w:line="17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September 16, 2025, effective August 1, 2025, the Company entered into a First Amendment to Credit Agreement and Limited Waiver ("Amendment") with FirstBank, as administrative agent for the lenders party thereto, and such lenders. Significant revisions made to the Credit Amendment as a result of the Amendment include extending the maturity date of amounts owed from January 5, 2026 to May 31, 2029, lowering the borrowing base from $20 million to $10 million and deferring the next test period for the ratio of total debt to EBITDAX to March 31, 2026</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borrowing base is subject to redetermination semi-annually, commencing on or about April 1 and October 1 of each year during the four-year term of the Credit Agreement. Our borrowing base can be adjusted as a result of changes in commodity prices, acquisitions or divestitures of proved properties, or financing activities, all as provided for in the Credit Agreement. We were in compliance with our financial covenants as of December 31, 2025. The amount outstanding on the Credit Agreement as of December 31, 2025, was $2.5 million.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Uses of Cash</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We use cash for the acquisition and development of our industrial gas properties, capital expenditures, workovers and operating costs related to our oil and gas properties, and general and administrative costs, settlements of commodity derivative contracts, debt obligations including interest, and share repurchases. During the year ended December 31, 2025, we spent approximately $12.0 million on the acquisition and development of our industrial gas properties.</w:t>
      </w:r>
    </w:p>
    <w:p>
      <w:pPr>
        <w:spacing w:after="0" w:line="18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amount, timing and allocation of our future capital expenditures will depend upon a number of factors, including our cash flows from operating, investing, and financing activities, our ability to execute our development program, and the number and size of acquisitions that we complete. In addition, the impact of industrial gas, oil and natural gas prices on investment opportunities, the availability of capital, tax law changes, and the timing and results of our development activities may lead to changes in funding requirements for future development. We periodically review our capital expenditure budget to assess if changes are necessary based on current and projected cash flows, acquisition and divestiture activities, and other factors. We will continue to monitor the economic environment through the remainder of the year and adjust our activity level as warranted.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certain measures about our liquidity as of December 31, 2025 and 2024 ($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2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Working capital deficit </w:t>
            </w:r>
            <w:r>
              <w:rPr>
                <w:rFonts w:ascii="Times New Roman" w:cs="Times New Roman" w:eastAsia="Times New Roman" w:hAnsi="Times New Roman"/>
                <w:sz w:val="24"/>
                <w:szCs w:val="24"/>
                <w:color w:val="auto"/>
                <w:vertAlign w:val="superscript"/>
              </w:rPr>
              <w:t>(1)</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40,630</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debt</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24,195</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Select Ratios:</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line="214" w:lineRule="exact"/>
              <w:rPr>
                <w:sz w:val="20"/>
                <w:szCs w:val="20"/>
                <w:color w:val="auto"/>
              </w:rPr>
            </w:pPr>
            <w:r>
              <w:rPr>
                <w:rFonts w:ascii="Times New Roman" w:cs="Times New Roman" w:eastAsia="Times New Roman" w:hAnsi="Times New Roman"/>
                <w:sz w:val="15"/>
                <w:szCs w:val="15"/>
                <w:color w:val="auto"/>
              </w:rPr>
              <w:t xml:space="preserve">Current ratio </w:t>
            </w:r>
            <w:r>
              <w:rPr>
                <w:rFonts w:ascii="Times New Roman" w:cs="Times New Roman" w:eastAsia="Times New Roman" w:hAnsi="Times New Roman"/>
                <w:sz w:val="24"/>
                <w:szCs w:val="24"/>
                <w:color w:val="auto"/>
                <w:vertAlign w:val="superscript"/>
              </w:rPr>
              <w:t>(2)</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0.33 to 1.00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0.81 to 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Debt-to-equity ratio </w:t>
            </w:r>
            <w:r>
              <w:rPr>
                <w:rFonts w:ascii="Times New Roman" w:cs="Times New Roman" w:eastAsia="Times New Roman" w:hAnsi="Times New Roman"/>
                <w:sz w:val="29"/>
                <w:szCs w:val="29"/>
                <w:color w:val="auto"/>
                <w:vertAlign w:val="superscript"/>
              </w:rPr>
              <w:t>(3)</w:t>
            </w: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 to 1.00</w:t>
            </w:r>
          </w:p>
        </w:tc>
        <w:tc>
          <w:tcPr>
            <w:tcW w:w="32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to 1.00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80" w:hanging="330"/>
        <w:spacing w:after="0" w:line="181" w:lineRule="auto"/>
        <w:tabs>
          <w:tab w:leader="none" w:pos="6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Working capital is computed by subtracting total current liabilities from total current assets.</w:t>
      </w:r>
    </w:p>
    <w:p>
      <w:pPr>
        <w:spacing w:after="0" w:line="29" w:lineRule="exact"/>
        <w:rPr>
          <w:rFonts w:ascii="Times New Roman" w:cs="Times New Roman" w:eastAsia="Times New Roman" w:hAnsi="Times New Roman"/>
          <w:sz w:val="29"/>
          <w:szCs w:val="29"/>
          <w:color w:val="auto"/>
          <w:vertAlign w:val="superscript"/>
        </w:rPr>
      </w:pPr>
    </w:p>
    <w:p>
      <w:pPr>
        <w:ind w:left="680" w:hanging="330"/>
        <w:spacing w:after="0" w:line="185" w:lineRule="auto"/>
        <w:tabs>
          <w:tab w:leader="none" w:pos="6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current ratio is computed by dividing total current assets by total current liabilities.</w:t>
      </w:r>
    </w:p>
    <w:p>
      <w:pPr>
        <w:spacing w:after="0" w:line="29" w:lineRule="exact"/>
        <w:rPr>
          <w:rFonts w:ascii="Times New Roman" w:cs="Times New Roman" w:eastAsia="Times New Roman" w:hAnsi="Times New Roman"/>
          <w:sz w:val="24"/>
          <w:szCs w:val="24"/>
          <w:color w:val="auto"/>
          <w:vertAlign w:val="superscript"/>
        </w:rPr>
      </w:pPr>
    </w:p>
    <w:p>
      <w:pPr>
        <w:ind w:left="680" w:hanging="330"/>
        <w:spacing w:after="0" w:line="185" w:lineRule="auto"/>
        <w:tabs>
          <w:tab w:leader="none" w:pos="6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debt-to-equity ratio is computed by dividing total debt by total shareholders’ equity.</w:t>
      </w:r>
    </w:p>
    <w:p>
      <w:pPr>
        <w:spacing w:after="0" w:line="224"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As of December 31, 2025, we had a working capital deficit of $4.0 million compared to a working capital deficit of $2.2 million as of December 31, 2024, a decrease in working capital deficit of $1.8 million. However, when including the available borrowing capacity under the credit facility of $7.5 million as of December 31, 2025, we have a working capital surplus of $3.5 million, not including the cash proceeds received from the equity offering noted above.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$429 thousand and accounts payable and accrued liabilities of $1.5 million. As of December 31, 2024, we had cash and cash equivalents of $7.7 million and accounts payable and accrued liabilities of approximately $5.1 million. Revenue and royalties payable decreased $915 thousand year over year.</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have needs for financing in 2026, alternatives that we will consider would include borrowing amounts on our Credit Agreement, selling shares under the purchase agreement, selling all or a partial interest in certain of our oil and natural gas assets, issuing additional shares of our common stock for cash or as consideration for acquisitions in public or private offerings, and other alternatives, as we determine how to best fund our capital programs and meet our financial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and 2024 (in thousands):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4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(7,138)</w:t>
            </w:r>
          </w:p>
        </w:tc>
        <w:tc>
          <w:tcPr>
            <w:tcW w:w="1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(11,725)</w:t>
            </w: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(11,882)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(17,650)</w:t>
            </w: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tcPr>
          <w:p>
            <w:pPr>
              <w:spacing w:after="0"/>
              <w:rPr>
                <w:sz w:val="20"/>
                <w:szCs w:val="20"/>
                <w:color w:val="auto"/>
              </w:rPr>
            </w:pPr>
          </w:p>
        </w:tc>
      </w:tr>
    </w:tbl>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year ended December 31, 2025, was $7.1 million as compared to cash provided by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$4.6 million for 2024, a decrease of $11.7 million. The decrease in cash provided by operating activities is mainly attributable to a reduction in cash receipts for revenues as a result of divestments and a decrease in prices we received for our oil and natural gas production.</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year ended December 31, 2025, was $11.9 million compared to cash provided by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$5.8 million for 2024, a decrease of $17.7 million. The use of cash in our investing activities for the year ended December 31, 2025 was due primarily to capital expenditures to acquire and develop our industrial gas project. In 2024 cash provided by investing activities consisted of proceeds from divestitures offset by capital expenditures on our oil and gas and industrial gas properties.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for the year ended December 31, 2025, was $11.7 million as compared to cash used in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$6.0 million for the comparable period in 2024. The cash provided by financing activities during the year ended December 31, 2025 was primarily attributable to proceeds from equity issuances under our January 2025 underwritten offering and borrowing under our credit facility. The use of cash in 2024 mainly represents net payments of borrowings on our credit facility of $5.0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0"/>
        </w:trPr>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 meeting the requirements of Regulation S-X are included below.</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9"/>
        </w:trPr>
        <w:tc>
          <w:tcPr>
            <w:tcW w:w="4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Reports of Independent Registered Public Accounting Firm</w:t>
            </w:r>
          </w:p>
        </w:tc>
        <w:tc>
          <w:tcPr>
            <w:tcW w:w="5160" w:type="dxa"/>
            <w:vAlign w:val="bottom"/>
            <w:gridSpan w:val="5"/>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67</w:t>
            </w:r>
          </w:p>
        </w:tc>
        <w:tc>
          <w:tcPr>
            <w:tcW w:w="340" w:type="dxa"/>
            <w:vAlign w:val="bottom"/>
          </w:tcPr>
          <w:p>
            <w:pPr>
              <w:spacing w:after="0"/>
              <w:rPr>
                <w:sz w:val="24"/>
                <w:szCs w:val="24"/>
                <w:color w:val="auto"/>
              </w:rPr>
            </w:pPr>
          </w:p>
        </w:tc>
      </w:tr>
      <w:tr>
        <w:trPr>
          <w:trHeight w:val="217"/>
        </w:trPr>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93"/>
        </w:trPr>
        <w:tc>
          <w:tcPr>
            <w:tcW w:w="160" w:type="dxa"/>
            <w:vAlign w:val="bottom"/>
          </w:tcPr>
          <w:p>
            <w:pPr>
              <w:spacing w:after="0"/>
              <w:rPr>
                <w:sz w:val="16"/>
                <w:szCs w:val="16"/>
                <w:color w:val="auto"/>
              </w:rPr>
            </w:pPr>
          </w:p>
        </w:tc>
        <w:tc>
          <w:tcPr>
            <w:tcW w:w="4640" w:type="dxa"/>
            <w:vAlign w:val="bottom"/>
            <w:tcBorders>
              <w:bottom w:val="single" w:sz="8" w:color="0000EE"/>
            </w:tcBorders>
            <w:gridSpan w:val="3"/>
          </w:tcPr>
          <w:p>
            <w:pPr>
              <w:spacing w:after="0" w:line="193"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4640" w:type="dxa"/>
            <w:vAlign w:val="bottom"/>
            <w:gridSpan w:val="4"/>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sz w:val="20"/>
                <w:szCs w:val="20"/>
                <w:color w:val="auto"/>
              </w:rPr>
            </w:pPr>
            <w:r>
              <w:rPr>
                <w:rFonts w:ascii="Times New Roman" w:cs="Times New Roman" w:eastAsia="Times New Roman" w:hAnsi="Times New Roman"/>
                <w:sz w:val="18"/>
                <w:szCs w:val="18"/>
                <w:color w:val="0000EE"/>
                <w:w w:val="88"/>
              </w:rPr>
              <w:t>70</w:t>
            </w:r>
          </w:p>
        </w:tc>
        <w:tc>
          <w:tcPr>
            <w:tcW w:w="340" w:type="dxa"/>
            <w:vAlign w:val="bottom"/>
          </w:tcPr>
          <w:p>
            <w:pPr>
              <w:spacing w:after="0"/>
              <w:rPr>
                <w:sz w:val="16"/>
                <w:szCs w:val="16"/>
                <w:color w:val="auto"/>
              </w:rPr>
            </w:pPr>
          </w:p>
        </w:tc>
      </w:tr>
      <w:tr>
        <w:trPr>
          <w:trHeight w:val="195"/>
        </w:trPr>
        <w:tc>
          <w:tcPr>
            <w:tcW w:w="160" w:type="dxa"/>
            <w:vAlign w:val="bottom"/>
          </w:tcPr>
          <w:p>
            <w:pPr>
              <w:spacing w:after="0"/>
              <w:rPr>
                <w:sz w:val="16"/>
                <w:szCs w:val="16"/>
                <w:color w:val="auto"/>
              </w:rPr>
            </w:pPr>
          </w:p>
        </w:tc>
        <w:tc>
          <w:tcPr>
            <w:tcW w:w="6440" w:type="dxa"/>
            <w:vAlign w:val="bottom"/>
            <w:tcBorders>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2025 and 2024</w:t>
            </w:r>
          </w:p>
        </w:tc>
        <w:tc>
          <w:tcPr>
            <w:tcW w:w="2840" w:type="dxa"/>
            <w:vAlign w:val="bottom"/>
            <w:gridSpan w:val="3"/>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71</w:t>
            </w:r>
          </w:p>
        </w:tc>
        <w:tc>
          <w:tcPr>
            <w:tcW w:w="340" w:type="dxa"/>
            <w:vAlign w:val="bottom"/>
          </w:tcPr>
          <w:p>
            <w:pPr>
              <w:spacing w:after="0"/>
              <w:rPr>
                <w:sz w:val="16"/>
                <w:szCs w:val="16"/>
                <w:color w:val="auto"/>
              </w:rPr>
            </w:pPr>
          </w:p>
        </w:tc>
      </w:tr>
      <w:tr>
        <w:trPr>
          <w:trHeight w:val="195"/>
        </w:trPr>
        <w:tc>
          <w:tcPr>
            <w:tcW w:w="160" w:type="dxa"/>
            <w:vAlign w:val="bottom"/>
          </w:tcPr>
          <w:p>
            <w:pPr>
              <w:spacing w:after="0"/>
              <w:rPr>
                <w:sz w:val="16"/>
                <w:szCs w:val="16"/>
                <w:color w:val="auto"/>
              </w:rPr>
            </w:pPr>
          </w:p>
        </w:tc>
        <w:tc>
          <w:tcPr>
            <w:tcW w:w="800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Changes in Shareholders’ Equity for the Years Ended December 31, 2025 and 2024</w:t>
            </w: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72</w:t>
            </w:r>
          </w:p>
        </w:tc>
        <w:tc>
          <w:tcPr>
            <w:tcW w:w="340" w:type="dxa"/>
            <w:vAlign w:val="bottom"/>
          </w:tcPr>
          <w:p>
            <w:pPr>
              <w:spacing w:after="0"/>
              <w:rPr>
                <w:sz w:val="16"/>
                <w:szCs w:val="16"/>
                <w:color w:val="auto"/>
              </w:rPr>
            </w:pPr>
          </w:p>
        </w:tc>
      </w:tr>
      <w:tr>
        <w:trPr>
          <w:trHeight w:val="195"/>
        </w:trPr>
        <w:tc>
          <w:tcPr>
            <w:tcW w:w="160" w:type="dxa"/>
            <w:vAlign w:val="bottom"/>
          </w:tcPr>
          <w:p>
            <w:pPr>
              <w:spacing w:after="0"/>
              <w:rPr>
                <w:sz w:val="16"/>
                <w:szCs w:val="16"/>
                <w:color w:val="auto"/>
              </w:rPr>
            </w:pPr>
          </w:p>
        </w:tc>
        <w:tc>
          <w:tcPr>
            <w:tcW w:w="928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1800" w:type="dxa"/>
            <w:vAlign w:val="bottom"/>
            <w:gridSpan w:val="3"/>
          </w:tcPr>
          <w:p>
            <w:pPr>
              <w:jc w:val="right"/>
              <w:ind w:right="340"/>
              <w:spacing w:after="0" w:line="195" w:lineRule="exact"/>
              <w:rPr>
                <w:sz w:val="20"/>
                <w:szCs w:val="20"/>
                <w:color w:val="auto"/>
              </w:rPr>
            </w:pPr>
            <w:r>
              <w:rPr>
                <w:rFonts w:ascii="Times New Roman" w:cs="Times New Roman" w:eastAsia="Times New Roman" w:hAnsi="Times New Roman"/>
                <w:sz w:val="18"/>
                <w:szCs w:val="18"/>
                <w:color w:val="0000EE"/>
              </w:rPr>
              <w:t>73</w:t>
            </w:r>
          </w:p>
        </w:tc>
      </w:tr>
      <w:tr>
        <w:trPr>
          <w:trHeight w:val="195"/>
        </w:trPr>
        <w:tc>
          <w:tcPr>
            <w:tcW w:w="160" w:type="dxa"/>
            <w:vAlign w:val="bottom"/>
          </w:tcPr>
          <w:p>
            <w:pPr>
              <w:spacing w:after="0"/>
              <w:rPr>
                <w:sz w:val="16"/>
                <w:szCs w:val="16"/>
                <w:color w:val="auto"/>
              </w:rPr>
            </w:pPr>
          </w:p>
        </w:tc>
        <w:tc>
          <w:tcPr>
            <w:tcW w:w="6480" w:type="dxa"/>
            <w:vAlign w:val="bottom"/>
            <w:tcBorders>
              <w:top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80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74</w:t>
            </w:r>
          </w:p>
        </w:tc>
        <w:tc>
          <w:tcPr>
            <w:tcW w:w="340" w:type="dxa"/>
            <w:vAlign w:val="bottom"/>
          </w:tcPr>
          <w:p>
            <w:pPr>
              <w:spacing w:after="0"/>
              <w:rPr>
                <w:sz w:val="16"/>
                <w:szCs w:val="16"/>
                <w:color w:val="auto"/>
              </w:rPr>
            </w:pPr>
          </w:p>
        </w:tc>
      </w:tr>
      <w:tr>
        <w:trPr>
          <w:trHeight w:val="451"/>
        </w:trPr>
        <w:tc>
          <w:tcPr>
            <w:tcW w:w="16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3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r>
      <w:tr>
        <w:trPr>
          <w:trHeight w:val="114"/>
        </w:trPr>
        <w:tc>
          <w:tcPr>
            <w:tcW w:w="16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by the Company in reports filed or submitted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86"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As previously disclosed, during the year ended December 31, 2024, management identified a material weakness in internal control over financial reporting related primarily to deficiencies in the design of our accounting system and related information technology general controls.</w:t>
      </w:r>
    </w:p>
    <w:p>
      <w:pPr>
        <w:spacing w:after="0" w:line="16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During 2025, management implemented remediation measures designed to address this material weakness, including transitioning certain accounting functions to a third-party provider and implementing a new accounting system with enhanced system-based controls, as well as enhancing documentation and operation of manual review controls.</w:t>
      </w:r>
    </w:p>
    <w:p>
      <w:pPr>
        <w:spacing w:after="0" w:line="177"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Based on management’s evaluation, as of December 31, 2025, our Chief Executive Officer and Chief Financial Officer concluded that our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and 15d-15(f) under the Exchange Act (“ICFR”). Internal control over financial reporting is a process designed to provide reasonable assurance regarding the reliability of financial reporting and the preparation of financial statements in accordance with U.S. generally accepted accounting principles.</w:t>
      </w:r>
    </w:p>
    <w:p>
      <w:pPr>
        <w:spacing w:after="0" w:line="177"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Even effective internal controls can provide only reasonable assurance with respect to financial statement preparation and presentation.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management conducted an evaluation of the effectiveness of our internal control over financial reporting as of December 31, 2025, using the criteria set forth in the Internal Control – Integrated Framework (2013) issued by the Committee of Sponsoring Organizations of the Treadway Commission (“COSO”).</w:t>
      </w:r>
    </w:p>
    <w:p>
      <w:pPr>
        <w:spacing w:after="0" w:line="177"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color w:val="auto"/>
        </w:rPr>
        <w:t>As previously disclosed, management identified a material weakness in internal control over financial reporting as of December 31, 2024 related to deficiencies in the design of our accounting system and certain related control elements.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management implemented remediation actions designed to address this material weakness, including:</w:t>
      </w:r>
    </w:p>
    <w:p>
      <w:pPr>
        <w:spacing w:after="0" w:line="223" w:lineRule="exact"/>
        <w:rPr>
          <w:sz w:val="20"/>
          <w:szCs w:val="20"/>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third-party accounting service provider;</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new accounting system with enhanced system-based controls;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segregation of duties through system-based permissions;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documentation and evidence of management review controls; and</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relevant third-party information technology general controls.</w:t>
      </w:r>
    </w:p>
    <w:p>
      <w:pPr>
        <w:spacing w:after="0" w:line="25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Based on management’s evaluation, management concluded that the material weakness identified as of December 31, 2024 has been remediated, and that the Company had effective internal control over financial reporting as of December 31,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disclosure controls and procedures are designed to provide the Company’s Chief Executive Officer and Chief Financial Officer with reasonable assurances that the Company’s disclosure controls and procedures will achieve their objectives. However, the Company’s management does not expect that the Company’s disclosure controls and procedures or the Company’s internal control over financial reporting can or will prevent all human error. A control system, no matter how well designed and implemented, can provide only reasonable, not absolute, assurance that the objectives of the control system are met. Furthermore, the design of a control system must reflect the fact that there are internal resource constraints, and the benefit of controls must be weighed relative to their corresponding costs. Because of the limitations in all control systems, no evaluation of controls can provide complete assurance that all control issues and instances of error, if any, within the Company are detected. These inherent limitations include the realities that judgments in decision-making can be faulty, and that breakdowns can occur due to human error or mistake. Additionally, controls, no matter how well designed, could be circumvented by the individual acts of specific persons within the organization. The design of any system of controls is also based in part upon certain assumptions about the likelihood of future events, and there can be no assurance that any design will succeed in achieving its stated objectives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This report does not include an attestation report of our registered public accounting firm regarding our internal controls over financial reporting. Under SEC rules, such attestation is not required for non-accelerated filers such as the Company.</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jc w:val="both"/>
        <w:ind w:firstLine="7"/>
        <w:spacing w:after="0" w:line="265" w:lineRule="auto"/>
        <w:tabs>
          <w:tab w:leader="none" w:pos="267"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Rule 10b5-1 Trading Plans. </w:t>
      </w:r>
      <w:r>
        <w:rPr>
          <w:rFonts w:ascii="Times New Roman" w:cs="Times New Roman" w:eastAsia="Times New Roman" w:hAnsi="Times New Roman"/>
          <w:sz w:val="18"/>
          <w:szCs w:val="18"/>
          <w:color w:val="auto"/>
        </w:rPr>
        <w:t>During the quarter ended December 31, 2025, none of the Company’s directors or officers (as defined in Rule 16a-1(f))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Information required by Items 10, 11, 12, 13 and 14 of Part III is omitted from this Annual Report and will be filed in a definitive proxy statement or by an amendment to this Annual Report not later than 120 days after the end of the fiscal year covered by this Annual Report.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2026 Proxy Statement to be filed with the SEC within 120 days after December 31, 2025 in connection with the solicitation of proxies for the Company’s 2026 annual meeting of shareholders, including under the headings “Requirements and Deadlines for Shareholders to Submit Proposals for 2026 Annual Meeting”, “Election of Directors”, “Executive Officers”, “Corporate Governance”, “Code of Conduct”, “Insider Trading/Anti-Hedging Policies”, “Committees of the Board”, and “Delinquent Section 16(a) Reports” (to the extent applicable and warranted) and is incorporated herein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2026 Proxy Statement to be filed with the SEC within 120 days after December 31, 2025 in connection with the solicitation of proxies for the Company’s 2026 annual meeting of shareholders, including under the headings “Executive and Director Compensation”, “Executive Compensation”, “Directors Compensation”, “Outstanding Equity Awards at Fiscal Year-End”, “Policy on Timing of Award Grants”, "Insider Trading/Anti-Hedging Policies" and “Compensation Committee Interlocks and Insider Participation”, and is incorporated herein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2026 Proxy Statement to be filed with the SEC within 120 days after December 31, 2025 in connection with the solicitation of proxies for the Company’s 2026 annual meeting of shareholders, including under the heading “Principal Holders of Voting Securities and Ownership by Officers and Directors” and “Equity Compensation Plan Information” and is incorporated herein by reference.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2026 Proxy Statement to be filed with the SEC within 120 days after December 31, 2025 in connection with the solicitation of proxies for the Company’s 2026 annual meeting of shareholders, including under the headings “Certain Relationships and Related Transactions” and “Director Independence”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public accounting firm is Weaver and Tidwell, L.L.P, Houston, Texas, PCAOB ID 410.</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heading “Ratification of Appointment of Independent Auditors” "Principal Accounting Fees and Services” in the Company’s 2025 Proxy Statement to be filed with the SEC within 120 days after December 31, 2025 and is incorporated herein by reference.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(Weaver and Tidwell, L.L.P., Houston, Texas, PCAOB ID 410)</w:t>
            </w: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10380" w:type="dxa"/>
            <w:vAlign w:val="bottom"/>
            <w:gridSpan w:val="7"/>
            <w:vMerge w:val="continue"/>
          </w:tcPr>
          <w:p>
            <w:pPr>
              <w:spacing w:after="0"/>
              <w:rPr>
                <w:sz w:val="14"/>
                <w:szCs w:val="14"/>
                <w:color w:val="auto"/>
              </w:rPr>
            </w:pPr>
          </w:p>
        </w:tc>
        <w:tc>
          <w:tcPr>
            <w:tcW w:w="86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8"/>
                <w:szCs w:val="18"/>
                <w:color w:val="0000EE"/>
                <w:w w:val="99"/>
              </w:rPr>
              <w:t>67</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5740" w:type="dxa"/>
            <w:vAlign w:val="bottom"/>
            <w:gridSpan w:val="4"/>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0000EE"/>
            </w:tcBorders>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70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40" w:type="dxa"/>
            <w:vAlign w:val="bottom"/>
            <w:tcBorders>
              <w:bottom w:val="single" w:sz="8" w:color="0000EE"/>
            </w:tcBorders>
            <w:gridSpan w:val="4"/>
          </w:tcPr>
          <w:p>
            <w:pPr>
              <w:spacing w:after="0" w:line="193"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2025 and 2024</w:t>
            </w:r>
          </w:p>
        </w:tc>
        <w:tc>
          <w:tcPr>
            <w:tcW w:w="3940" w:type="dxa"/>
            <w:vAlign w:val="bottom"/>
            <w:gridSpan w:val="3"/>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0000EE"/>
            </w:tcBorders>
          </w:tcPr>
          <w:p>
            <w:pPr>
              <w:jc w:val="center"/>
              <w:spacing w:after="0" w:line="193" w:lineRule="exact"/>
              <w:rPr>
                <w:sz w:val="20"/>
                <w:szCs w:val="20"/>
                <w:color w:val="auto"/>
              </w:rPr>
            </w:pPr>
            <w:r>
              <w:rPr>
                <w:rFonts w:ascii="Times New Roman" w:cs="Times New Roman" w:eastAsia="Times New Roman" w:hAnsi="Times New Roman"/>
                <w:sz w:val="18"/>
                <w:szCs w:val="18"/>
                <w:color w:val="0000EE"/>
                <w:w w:val="99"/>
              </w:rPr>
              <w:t>71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Changes in Shareholders’ Equity for the Years Ended December 31, 2025 and 2024</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0000EE"/>
            </w:tcBorders>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72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38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860" w:type="dxa"/>
            <w:vAlign w:val="bottom"/>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73</w:t>
            </w:r>
          </w:p>
        </w:tc>
        <w:tc>
          <w:tcPr>
            <w:tcW w:w="0" w:type="dxa"/>
            <w:vAlign w:val="bottom"/>
          </w:tcPr>
          <w:p>
            <w:pPr>
              <w:spacing w:after="0"/>
              <w:rPr>
                <w:sz w:val="1"/>
                <w:szCs w:val="1"/>
                <w:color w:val="auto"/>
              </w:rPr>
            </w:pPr>
          </w:p>
        </w:tc>
      </w:tr>
      <w:tr>
        <w:trPr>
          <w:trHeight w:val="195"/>
        </w:trPr>
        <w:tc>
          <w:tcPr>
            <w:tcW w:w="6480" w:type="dxa"/>
            <w:vAlign w:val="bottom"/>
            <w:tcBorders>
              <w:top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9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0000EE"/>
            </w:tcBorders>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74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6"/>
        </w:trPr>
        <w:tc>
          <w:tcPr>
            <w:tcW w:w="3140" w:type="dxa"/>
            <w:vAlign w:val="bottom"/>
            <w:tcBorders>
              <w:top w:val="single" w:sz="8" w:color="0000EE"/>
            </w:tcBorders>
          </w:tcPr>
          <w:p>
            <w:pPr>
              <w:spacing w:after="0"/>
              <w:rPr>
                <w:sz w:val="24"/>
                <w:szCs w:val="24"/>
                <w:color w:val="auto"/>
              </w:rPr>
            </w:pPr>
          </w:p>
        </w:tc>
        <w:tc>
          <w:tcPr>
            <w:tcW w:w="33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U.S. Energy Corp.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U.S. Energy Corp. and Subsidiaries (the “Company”) as of December 31, 2025 and 2024, and the related consolidated statements of operations, changes in shareholders’ equity, and cash flows for each of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then ended, in conformity with accounting principles generally accepted in the United States of America.</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These financial statements are the responsibility of the entity’s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6"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Estimation of proved reserves impacting the recognition and valuation of depletion expense and impairment of oil and natural gas properties</w:t>
      </w:r>
    </w:p>
    <w:p>
      <w:pPr>
        <w:spacing w:after="0" w:line="200" w:lineRule="exact"/>
        <w:rPr>
          <w:sz w:val="20"/>
          <w:szCs w:val="20"/>
          <w:color w:val="auto"/>
        </w:rPr>
      </w:pPr>
    </w:p>
    <w:p>
      <w:pPr>
        <w:spacing w:after="0" w:line="242"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As described in Note 1 to the financial statements, the Company accounts for its oil and natural gas properties using the full cost method of accounting which requires management to make estimates of proved reserve volumes and future revenues and expenses to calculate depletion expense and measure its oil and natural gas properties for potential impairment. To estimate the volume of proved reserves and future revenues, management makes significant estimates and assumptions, including forecasting the production decline rate of producing properties. In addition, the estimation of proved reserves is also impacted by management’s judgments and estimates regarding the financial performance of wells associated with proved reserves to determine if wells are expected, with reasonable certainty, to be economical under the appropriate pricing assumptions required in the estimation of depletion expense and potential impairment measurements. We identified the estimation of proved reserves of oil and natural gas properties, due to its impact on depletion expense and impairment evaluation, as a critical audit matter.</w:t>
      </w:r>
    </w:p>
    <w:p>
      <w:pPr>
        <w:spacing w:after="0" w:line="189"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estimation of proved reserves is a critical audit matter is that changes in certain inputs and assumptions, which require a high degree of subjectivity necessary to estimate the volume and future revenues of the Company’s proved reserves could have a significant impact on the measurement of depletion expense or the impairment assessment. In turn, auditing those inputs and assumptions required subjective and complex auditor judgment.</w:t>
      </w:r>
    </w:p>
    <w:p>
      <w:pPr>
        <w:spacing w:after="0" w:line="396"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We obtained an understanding of the design and implementation of management’s controls and our audit procedures related to the estimation of proved reserves included the following, among others.</w:t>
      </w:r>
    </w:p>
    <w:p>
      <w:pPr>
        <w:spacing w:after="0" w:line="162" w:lineRule="exact"/>
        <w:rPr>
          <w:sz w:val="20"/>
          <w:szCs w:val="20"/>
          <w:color w:val="auto"/>
        </w:rPr>
      </w:pPr>
    </w:p>
    <w:p>
      <w:pPr>
        <w:jc w:val="both"/>
        <w:ind w:left="960" w:hanging="328"/>
        <w:spacing w:after="0" w:line="264"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level of knowledge, skill, and ability of the Company’s reservoir engineering specialists and their relationship to the Company, made inquiries of those reservoir engineers regarding the process followed and judgments made to estimate the Company’s proved reserve volumes, and read the reserve report prepared by the Company’s specialists.</w:t>
      </w:r>
    </w:p>
    <w:p>
      <w:pPr>
        <w:spacing w:after="0" w:line="176" w:lineRule="exact"/>
        <w:rPr>
          <w:rFonts w:ascii="Times New Roman" w:cs="Times New Roman" w:eastAsia="Times New Roman" w:hAnsi="Times New Roman"/>
          <w:sz w:val="18"/>
          <w:szCs w:val="18"/>
          <w:color w:val="auto"/>
        </w:rPr>
      </w:pPr>
    </w:p>
    <w:p>
      <w:pPr>
        <w:jc w:val="both"/>
        <w:ind w:left="960" w:hanging="328"/>
        <w:spacing w:after="0" w:line="254"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key, sensitive inputs and assumptions used to determine proved reserve volumes and other cash flow inputs and assumptions are derived from the Company’s accounting records, such as commodity pricing, historical pricing differentials, operating costs, and working and net revenue interests, we tested management’s process for determining the assumptions, including examining the underlying support, on a sample basis. Specifically, our audit procedures involved testing management’s assumptions, to the extent key, as follows:</w:t>
      </w:r>
    </w:p>
    <w:p>
      <w:pPr>
        <w:spacing w:after="0" w:line="2" w:lineRule="exact"/>
        <w:rPr>
          <w:rFonts w:ascii="Times New Roman" w:cs="Times New Roman" w:eastAsia="Times New Roman" w:hAnsi="Times New Roman"/>
          <w:sz w:val="18"/>
          <w:szCs w:val="18"/>
          <w:color w:val="auto"/>
        </w:rPr>
      </w:pPr>
    </w:p>
    <w:p>
      <w:pPr>
        <w:ind w:left="1580" w:hanging="323"/>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Compared the estimated pricing differentials used in the reserve report to realized prices related to revenue transactions recorded in the current year and examined contractual support for the pricing differentials;</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forecasted operating costs at year-end compared to historical operating costs;</w:t>
      </w:r>
    </w:p>
    <w:p>
      <w:pPr>
        <w:spacing w:after="0" w:line="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working and net revenue interests used in the reserve report by inspecting a sample of ownership interests;</w:t>
      </w:r>
    </w:p>
    <w:p>
      <w:pPr>
        <w:spacing w:after="0" w:line="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Applied analytical procedures to the reserve report by comparing to historical actual results and to the prior year reserve report.</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13, 2026</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2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8"/>
              </w:rPr>
              <w:t>U.S. ENERGY CORP. AND SUBSIDIARIES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DECEMBER 31, 2025 AND 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and natural gas sales receivables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Oil and natural gas properties under full cost method: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Evaluated properties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(117,237)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(112,958)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Net oil and natural gas properties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Unproved industrial gas properties, not subject to amortization</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40,630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49,667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65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and royalties payable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obligation</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facility</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obligation</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$0.01 par value; 245,000,000 authorized; 34,405,143 and 27,903,197 shares issued and</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235,762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(197,538)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40,630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7" w:right="339" w:bottom="601"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601"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U.S. ENERGY CORP.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2025 AND 2024</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Natural gas and liquids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operating expenses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transportation, and treating</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Production taxes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Exploration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of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(25,675)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derivative gain,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(14,368)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(14,374)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33,820,394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26,720,295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00" w:type="dxa"/>
            <w:vAlign w:val="bottom"/>
            <w:gridSpan w:val="6"/>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U.S. ENERGY CORP. AND SUBSIDIARIES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720" w:type="dxa"/>
            <w:vAlign w:val="bottom"/>
            <w:gridSpan w:val="11"/>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CHANGES IN SHAREHOLDERS</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EQUITY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00" w:type="dxa"/>
            <w:vAlign w:val="bottom"/>
            <w:gridSpan w:val="9"/>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2025 AND 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00" w:type="dxa"/>
            <w:vAlign w:val="bottom"/>
            <w:gridSpan w:val="6"/>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6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23"/>
        </w:trPr>
        <w:tc>
          <w:tcPr>
            <w:tcW w:w="20" w:type="dxa"/>
            <w:vAlign w:val="bottom"/>
            <w:vMerge w:val="restart"/>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25,333,870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218,403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(171,904)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for acquired properties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to employees and directors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710,104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gridSpan w:val="2"/>
          </w:tcPr>
          <w:p>
            <w:pPr>
              <w:ind w:left="140"/>
              <w:spacing w:after="0" w:line="197" w:lineRule="exact"/>
              <w:rPr>
                <w:sz w:val="20"/>
                <w:szCs w:val="20"/>
                <w:color w:val="auto"/>
              </w:rPr>
            </w:pPr>
            <w:r>
              <w:rPr>
                <w:rFonts w:ascii="Times New Roman" w:cs="Times New Roman" w:eastAsia="Times New Roman" w:hAnsi="Times New Roman"/>
                <w:sz w:val="18"/>
                <w:szCs w:val="18"/>
                <w:color w:val="auto"/>
              </w:rPr>
              <w:t>Shares withheld to settle tax withholding obligations for restricted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awards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(124,177)</w:t>
            </w: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(616,600)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27,903,197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221,460</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(197,538)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for acquisition of industrial gas properties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to employees and directors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gridSpan w:val="2"/>
          </w:tcPr>
          <w:p>
            <w:pPr>
              <w:ind w:left="140"/>
              <w:spacing w:after="0" w:line="197" w:lineRule="exact"/>
              <w:rPr>
                <w:sz w:val="20"/>
                <w:szCs w:val="20"/>
                <w:color w:val="auto"/>
              </w:rPr>
            </w:pPr>
            <w:r>
              <w:rPr>
                <w:rFonts w:ascii="Times New Roman" w:cs="Times New Roman" w:eastAsia="Times New Roman" w:hAnsi="Times New Roman"/>
                <w:sz w:val="18"/>
                <w:szCs w:val="18"/>
                <w:color w:val="auto"/>
              </w:rPr>
              <w:t>Shares withheld to settle tax withholding obligations for restricted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awards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(245,810)</w:t>
            </w: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sold in underwritten offering, net of offering costs $899,099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as part of private placement equity raise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223,141</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repurchased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(197,400)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repurchased from related party</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(635,400)</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Balances, December 31, 2025</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34,405,143 $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235,762</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(211,912)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00" w:type="dxa"/>
            <w:vAlign w:val="bottom"/>
            <w:gridSpan w:val="9"/>
          </w:tcPr>
          <w:p>
            <w:pPr>
              <w:jc w:val="center"/>
              <w:ind w:left="11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U.S. ENERGY CORP. AND SUBSIDIARIES</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2025 AND 2024</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(14,374)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commodity derivatives gains,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Commodity derivative settlements received</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(Gains) losses on marketable equity securities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sale of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Right of use asset amortization</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Oil and natural gas sales receivable</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Revenue and royalties payable</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Payments on operating lease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Settlements of asset retirement obligations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industrial gas properties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Industrial gas properties capital expenditures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Oil and natural gas capital expenditures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 of oil and natural gas properties, net</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real estate and other, net</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(11,882)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Borrowings on credit facility</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credit facility</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on insurance premium finance note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and equity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to settle tax withholding obligations for restricted stock awards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share repurchase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underwritten offering</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(decrease) increase in cash and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 beginning of year</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 end of year</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 xml:space="preserve">The accompanying notes are an integral part of these consolidated financial statements. Please see </w:t>
      </w:r>
      <w:r>
        <w:rPr>
          <w:rFonts w:ascii="Times New Roman" w:cs="Times New Roman" w:eastAsia="Times New Roman" w:hAnsi="Times New Roman"/>
          <w:sz w:val="18"/>
          <w:szCs w:val="18"/>
          <w:i w:val="1"/>
          <w:iCs w:val="1"/>
          <w:color w:val="auto"/>
        </w:rPr>
        <w:t>Note 15- Supplemental Disclosures of 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p>
    <w:p>
      <w:pPr>
        <w:sectPr>
          <w:pgSz w:w="11900" w:h="16838" w:orient="portrait"/>
          <w:cols w:equalWidth="0" w:num="1">
            <w:col w:w="11240"/>
          </w:cols>
          <w:pgMar w:left="320" w:top="107"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2" w:lineRule="exact"/>
        <w:rPr>
          <w:sz w:val="20"/>
          <w:szCs w:val="20"/>
          <w:color w:val="auto"/>
        </w:rPr>
      </w:pPr>
    </w:p>
    <w:p>
      <w:pPr>
        <w:ind w:right="4500" w:firstLine="7"/>
        <w:spacing w:after="0" w:line="500" w:lineRule="auto"/>
        <w:tabs>
          <w:tab w:leader="none" w:pos="179"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OPERATIONS AND SIGNIFICANT ACCOUNTING POLICIES Organization and Operations</w:t>
      </w:r>
    </w:p>
    <w:p>
      <w:pPr>
        <w:spacing w:after="0" w:line="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U.S. Energy Corp. (and its wholly-owned subsidiaries), are referred to as the “Company” in these Notes to Consolidated Financial Statements. The Company is incorporated in the State of Delaware and its principal business activities are focused on the acquisition, exploration and development of industrial gas and oil and natural gas properties in the United States.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Significant estimates include oil and natural gas reserves that are used in the calculation of depreciation, depletion, amortization and impairment of the carrying value of proved oil and natural gas properties, and the cost and timing of future asset retirement obligations. The Company evaluates its estimates on an on-going basis and bases its estimates on historical experience and on various other assumptions the Company believes to be reasonable. Due to inherent uncertainties, including the future prices of oil and natural gas, these estimates could change in the near term and such changes could be material.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GAAP and include the accounts of U.S. Energy Corp. and its wholly-owned subsidiaries. U.S. Energy Corp. accounts for its share of oil and natural gas exploration and production activities, and industrial gas activities in which it has a direct working interest, by reporting its proportionate share of assets, liabilities, revenues, costs, and cash flows within the relevant lines on the consolidated balance sheets, statements of operations, and statements of cash flows. All inter-company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Segment and Geographic Information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operates primarily in the exploration and production segment of the oil and gas industry, conducting onshore operations within the United States. All current revenues are derived from the production and sale of oil and natural gas.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addition, the Company has commenced development activities related to industrial gas assets. These activities are currently in the development stage and have not yet generated revenues. Development activities primarily consist of resource evaluation, permitting, engineering and related capital expenditures.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as a single reportable segment under ASC 280 Segment Reporting. The Company’s Chief Executive Officer serves as the Chief Operating Decision Maker (“CODM”) and reviews financial information on a consolidated basis for purposes of allocating resources and assessing performance. While industrial gas development costs and capital expenditures are tracked separately for internal project management purposes, such activities do not currently constitute a separate operating segment, as discrete operating results are not reviewed by the CODM and no revenues have been generated.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oil and natural gas properties and operations are located in:</w:t>
      </w:r>
    </w:p>
    <w:p>
      <w:pPr>
        <w:spacing w:after="0" w:line="223" w:lineRule="exact"/>
        <w:rPr>
          <w:sz w:val="20"/>
          <w:szCs w:val="20"/>
          <w:color w:val="auto"/>
        </w:rPr>
      </w:pPr>
    </w:p>
    <w:p>
      <w:pPr>
        <w:ind w:left="1040" w:hanging="320"/>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Rockies region (Montana and Wyoming)</w:t>
      </w:r>
    </w:p>
    <w:p>
      <w:pPr>
        <w:spacing w:after="0" w:line="26"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Mid-Continent region (Oklahoma and North and East Texas)</w:t>
      </w:r>
    </w:p>
    <w:p>
      <w:pPr>
        <w:spacing w:after="0" w:line="8" w:lineRule="exact"/>
        <w:rPr>
          <w:rFonts w:ascii="Times New Roman" w:cs="Times New Roman" w:eastAsia="Times New Roman" w:hAnsi="Times New Roman"/>
          <w:sz w:val="18"/>
          <w:szCs w:val="18"/>
          <w:color w:val="auto"/>
        </w:rPr>
      </w:pPr>
    </w:p>
    <w:p>
      <w:pPr>
        <w:ind w:left="1040" w:hanging="320"/>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Texas, South Texas, and the Gulf Coast region</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CODM evaluates performance primarily based on operating income (loss), defined as revenues less lease operating expenses. Other significant items reviewed include total assets, depreciation, depletion and amortization (“DD&amp;A”), general and administrative expense, gain or loss on derivative activity, interest expense and income tax expense (benefit). These amounts are presented in the Consolidated Balance Sheets and Consolidated Statements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Equivalents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Cash and cash equivalents potentially subject the Company to a concentration of credit risk as substantially all of its deposits held in financial institutions were in excess of the federal deposit insurance limits as of December 31, 2025 and 2024. The Company maintains its cash and cash equivalents in the form of checking accounts or short-term investments with financial institutions that it believes are creditworthy. The Company's checking accounts are with the same financial institution as its credit facility.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Receivables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oil and natural gas sales receivables consist of receivables from purchasers of the Company’s operated oil, natural gas, and natural gas liquids (“NGLs”) sales. Generally, the Company’s oil, natural gas and NGL sales receivables from operated properties are collected within one month. The Company also has joint operating agreements as a non-operator of oil and natural gas properties. Generally, receivables, if any, from the joint interest operator are collected within one to three months. The Company monitors the credit quality of its counterparties through review of collections, credit ratings, and other analyses as appropriate given relevant facts and circumstances. The Company develops its estimated allowance for credit losses primarily using an aging method and analyses of historical loss rates as well as consideration of current and future conditions that could impact its counterparties’ credit quality and liquidity. Receivables are not collateralized. For the year ended December 31, 2025, the Company recognized $280 thousand of expense related to its joint interest accounts receivable, increasing the allowance for credit losses to $380 thousand as of December 31, 2025 from $100 thousand as of December 31, 2024. No write offs, recoveries, or other adjustments were recorded in 2025 or 2024. The balance of the oil and natural gas sales receivable reported on the Consolidated Balance Sheets is comprised entirely of receivables associated with sales under contracts with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exposure to credit risk in the event of nonpayment of oil and natural gas receivables by purchasers of the Company’s share of oil and natural gas production and its operated production. The following table presents the purchasers that accounted for 10% or more of the Company’s total oil and natural gas revenue for at least one of the periods presented:</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vMerge w:val="restart"/>
          </w:tcPr>
          <w:p>
            <w:pPr>
              <w:ind w:left="23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80" w:type="dxa"/>
            <w:vAlign w:val="bottom"/>
            <w:vMerge w:val="restart"/>
          </w:tcPr>
          <w:p>
            <w:pPr>
              <w:spacing w:after="0"/>
              <w:rPr>
                <w:sz w:val="20"/>
                <w:szCs w:val="20"/>
                <w:color w:val="auto"/>
              </w:rPr>
            </w:pPr>
          </w:p>
        </w:tc>
        <w:tc>
          <w:tcPr>
            <w:tcW w:w="222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Purchaser A</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B</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Purchaser C</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121" w:right="339" w:bottom="1058"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058" w:gutter="0" w:footer="0" w:header="0"/>
          <w:type w:val="continuous"/>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Marketable equity securities are reported at fair value based on end of period quoted prices adjusted for selling expenses. Changes in fair value are recorded in other income (expense), net on the Consolidated Statements of Operations at the end of each reporting period. Gains or losses from sales of marketable equity securities are recorded in other income (expense), net on the Consolidated Statements of Operations when the sale is completed.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Oil and Natural Gas Properties</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Company follows the full cost method of accounting for its oil and natural gas properties. Under the full cost method, all costs associated with the acquisition, exploration and development of oil and natural gas properties are capitalized and accumulated in a country-wide cost center. This includes any internal costs that are directly related to development and exploration activities but does not include any costs related to production, general corporate overhead or similar activities. The sum of net capitalized costs and estimated future development and dismantlement costs for each cost center are subject to depreciation, depletion and amortization (“DD&amp;A”) using the equivalent unit-of-production method, based on total proved oil and natural gas reserves. For consolidated financial statement presentation, DD&amp;A includes accretion expense related to asset retirement obligations. Cost associated with unevaluated properties, if any, are excluded from amounts subject to DD&amp;A.</w:t>
      </w:r>
    </w:p>
    <w:p>
      <w:pPr>
        <w:spacing w:after="0" w:line="186"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7"/>
          <w:szCs w:val="17"/>
          <w:color w:val="auto"/>
        </w:rPr>
        <w:t>Under the full cost method, net capitalized costs are limited to the lower of unamortized cost reduced by the related net deferred tax liability, or the cost center ceiling (the “Ceiling Test”). The cost center ceiling is defined as the sum of (i) estimated future net revenue, discounted at 10% per annum, from proved reserves, based on average prices per barrel of oil and per Mcf of natural gas at the first day of each month in the 12-month period prior to the end of the reporting period; and costs, adjusted for contract provisions and financial derivatives qualifying as accounting hedges and asset retirement obligations,</w:t>
      </w:r>
    </w:p>
    <w:p>
      <w:pPr>
        <w:spacing w:after="0" w:line="2" w:lineRule="exact"/>
        <w:rPr>
          <w:sz w:val="20"/>
          <w:szCs w:val="20"/>
          <w:color w:val="auto"/>
        </w:rPr>
      </w:pPr>
    </w:p>
    <w:p>
      <w:pPr>
        <w:jc w:val="both"/>
        <w:ind w:left="20" w:firstLine="7"/>
        <w:spacing w:after="0" w:line="251" w:lineRule="auto"/>
        <w:tabs>
          <w:tab w:leader="none" w:pos="2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unevaluated properties not being amortized, and (iii) the lower of cost or market value of unproved properties included in the cost being amortized, reduced by (iv) the income tax effects related to differences between the book and tax basis of the crude oil and natural gas properties. If the net book value reduced by the related net deferred income tax liability (if any) exceeds the cost center ceiling limitation, a non-cash impairment charge is required in the period in which the impairment occurs. Since all of the Company’s oil and natural gas properties are located within the United States, the Company only has one cost center for which a quarterly Ceiling Test is performed.</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Industrial Gas Properties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all costs associated with the acquisition, exploration and development of industrial gas properties. The acquisition of leases, cost of acquiring drilling permits, drilling, development and asset retirement costs are capitalized as exploration and unevaluated properties. When commercially viable quantities of industrial gas reserves are discovered, the associated costs are reclassified to evaluated assets. The Company will periodically assess exploration and unevaluated properties, and upon evaluation, will reclass the properties to evaluated. Any additional costs to develop the properties or to construct infrastructure to produce and process industrial gases, including processing plant construction costs, will also be capitalized as evaluated. Interest expense, if any, is capitalized on qualifying expenditures. Evaluated industrial gas properties are subject to DD&amp;A once production commences utilizing the units of production method. Evaluated industrial gas properties are stated at cost, less accumulated depletion, depreciation and amortization.</w:t>
      </w: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carrying value of the evaluated properties is reviewed for impairment when there are indications that it may not be recoverable due to significant and prolonged declines in prices, significant reductions in estimated resources, changes in the Company’s plans or other significant events that indicate that an impairment may exist. If any such indication of impairment exists and the sum of the undiscounted cash flows is less than the carrying value of the evaluated property, the carrying value is reduced to estimated fair value and reported as an impairment charge in the period with a reduction in the associated carrying cost. Individual evaluated properties are grouped for impairment purposes at the lowest level for which there are identifiable cash flows. The fair value of impaired property is typically determined based on the present value of expected future cash flows using discount rates believed to be consistent with market participants. The impairment test incorporates several assumptions involving expectations of future cash flows which can change significantly over time. These assumptions include estimates of future production, future contracted industrial gas prices, estimates of future operating and development costs.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 accounts for acquisitions as business combinations if the acquired assets meet the definition of a business. If substantially all of the fair value of the gross assets acquired are concentrated in a single identifiable asset or a group of similar assets, the acquisition is not considered a business and is accounted for as an asset acquisition. This determination of whether the gross assets acquired are concentrated in a group of similar assets is based on whether the risks associated with managing and creating outputs from the assets are similar.</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For divestitures involving oil and natural gas assets included in the full cost pool, the Company evaluates if a given divestment has a significant impact to either our reserves volumes or the full cost pool unit-of-production depletion rate. If a divestiture has a significant impact to reserves volumes or the full cost pool depletion rate, the Company will consider if recognizing a gain or loss on the transaction is appropriate. If a divestiture does not have a significant impact to reserves volumes or the full cost pool depletion rate, the Company records proceeds, net of transaction costs and purchase price adjustments, to the full cost pool, with no gain or loss recognized on the Consolidated Statements of Operations. Relief of any associated asset retirement obligation is also recorded to the full cost pool. Revenues and expenditures are recorded following our standard accounting policies until the divestment closes.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Administrative assets are carried at cost. Depreciation of administrative assets are provided principally by the straight-line method over estimated useful lives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7380" w:type="dxa"/>
            <w:vAlign w:val="bottom"/>
          </w:tcPr>
          <w:p>
            <w:pPr>
              <w:spacing w:after="0"/>
              <w:rPr>
                <w:sz w:val="20"/>
                <w:szCs w:val="20"/>
                <w:color w:val="auto"/>
              </w:rPr>
            </w:pP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assets:</w:t>
            </w: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Computers and software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1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r>
      <w:tr>
        <w:trPr>
          <w:trHeight w:val="215"/>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Autos and trucks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r>
      <w:tr>
        <w:trPr>
          <w:trHeight w:val="215"/>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equipment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evaluates long-lived assets for impairment when events or changes in circumstances indicate that the related carrying amount may not be recoverable. If estimated future cash flows, on an undiscounted basis, are less than the carrying amount of the related asset, an asset impairment charge is recognized, and measured as the amount by which the carrying value exceeds the estimated fair value. Changes in significant assumptions underlying future cash flow estimates may have a material effect on the Company’s financial position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leases in accordance with Accounting Standards Codification (“ASC”) Topic 842, Leases, (“Topic 842”), which requires lessees to recognize operating and finance leases with terms greater than 12 months on the Consolidated Balance Sheets. The Company evaluates a contractual arrangement at its inception to determine if it is a lease or contains an identifiable lease component. Certain leases may contain both lease and non-lease components. The Company’s policy for all asset classes is to combine lease and non-lease components together and account for the arrangement as a single lease.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assumptions and judgments are made by the Company when evaluating a contract that meets the definition of a lease under Topic 842, which include those to determine the discount rate and lease term. Unless the discount rate can be determined in the lease agreement, the Company determines the present value of the future lease payments using an estimated incremental borrowing rate at the lease inception. The Company evaluates each contract containing a lease arrangement at inception to determine the length of the lease term when recognizing a right-of-use (“ROU”) asset and corresponding lease liability. The Company excludes from the Consolidated Balance Sheets leases with terms that are less than one year.</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 ROU asset represents a lessee’s right to use an underlying asset for the lease term, while the associated lease liability represents the lessee’s obligations to make lease payments. At the commencement date a lease ROU asset and corresponding lease liability is recognized based on the present value of the future lease payments. The initial measurement excludes certain variable lease payments, such as payments that vary depending on actual usage.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periodically enters into commodity derivative instruments to mitigate a portion of its exposure to oil price volatility for its expected future oil production. The Company does not designate commodity derivative contracts as fair value or cash flow hedges, and therefore the contracts do not qualify for hedge accounting treatment. Changes in fair value of derivative contracts are recorded in the Consolidated Statement of Operations in other income (expense). The fair value of derivative contracts is recorded as either an asset or a liability on the Consolidated Balance Sheet.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derives revenue from the sale of produced oil, natural gas and NGLs. Revenue is recognized at the point in time when custody and title of the product transfers to the purchaser, which may differ depending on the applicable contractual terms. Revenue accruals are recorded based on the Company’s share of estimated production and the expected price to be received. The Company uses its knowledge of its properties, contractual arrangements, historical performance, NYMEX differentials, and other factors as the basis of these estimates. Variances between estimates and the actual amounts received are recorded in the month payment is received.</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does not disclose the values of unsatisfied performance obligations under its contracts with customers as it applies the practical exemption in accordance with ASC 606. The exemption applies to variable consideration that is recognized as control of the product is transferred to the customer. Since each unit of product represents a separate performance obligation, future volumes are wholly unsatisfied, and disclosure of the transaction price allocated to the remaining performance obligations is not required.</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reports revenue as its proportionate share of the gross amount received before taking into account transportation costs. Production taxes and gathering, transportation, and treating costs are reported separately on the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records the estimated fair value of restoration and reclamation liabilities related to its oil and natural gas and industrial gas properties as of the date that the liability is incurred. The Company reviews the liability each quarter and determines if a change in estimate is required, and accretion of the discounted liability is recorded based on the passage of time. The Company deducts any actual funds expended for restoration and reclamation during the quarter in which it occurs.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Certain prior-year amounts have been reclassified to conform to the current-year presentation. For the year ended December 31, 2024, the Company reclassified approximately $369 thousand of acquisition costs to exploration expense within Operating expenses. This reclassification had no impact on total operating expenses, net income, cash flows, or 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the cost of employee and director services received in exchange for all equity awards granted, including stock options, based on the fair value of the award as of the grant date. The Company's policy is to compute the fair values of any options granted to employees using the Black-Scholes option pricing model unless the fair value is expected to be inconsequential. The Company recognizes the cost of the equity awards over the period during which an employee or director is required to provide services in exchange for the award, usually the vesting period. Forfeitures are recognized as they occur. Unvested shares of restricted stock grants are not included in common shares outstanding until vesting has occurred.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recognizes deferred income tax assets and liabilities for the expected future income tax consequences, based on enacted tax laws, of temporary differences between the financial reporting and tax bases of assets, liabilities and carry forwards.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Company recognizes deferred tax assets for the expected future effects of all deductible temporary differences, loss carry forwards, and tax credit carry forwards. Deferred tax assets are reduced by a valuation allowance for any tax benefits that, based on current circumstances, are considered more likely than not they will not be realized. As of December 31, 2025 and 2024, management did not believe it was more likely than not that such a tax benefit would be realized and as such, a valuation allowance has been recorded. In assessing the need for a valuation allowance for the Company’s deferred tax assets, a significant item of negative evidence considered was the cumulative book loss over the three-year period ended December 31, 2025.</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assesses its tax positions annually to determine if there are any uncertain tax positions. If an uncertain tax position is identified, the Company recognizes the tax benefit from an uncertain tax position only if it is more likely than not that the tax position will be sustained on examination by taxing authorities, based on the technical merits of the position. The tax benefits recognized in the consolidated financial statements from such a position are measured based on the largest benefit that is probable of being realized upon ultimate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based on the weighted average number of common shares outstanding. Diluted net income (loss) per share is calculated by dividing net income or loss by the diluted weighted average common shares outstanding, which includes the effect of potentially dilutive securities. Potentially dilutive securities for this calculation consist of in-the-money outstanding stock options, and unvested restricted stock. When there is a loss from continuing operations, all potentially dilutive shares are anti-dilutive and are excluded from the calculation of net income (loss) per share. The treasury stock method is used to measure the dilutive impact of unvested restricted stock and in-the-money stock options.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 of Immaterial Errors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identified two immaterial errors related to the over accrual of commitment fees on its credit facility in 2024 and production taxes in 2024 and earlier periods. The errors resulted in an overstatement of operating expenses, interest expense and Accumulated Deficit and the understatement of Other income (expense). The Company concluded the errors were not material to any previously issued financial statements including previously issued interim financial statements.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Accordingly, the Company revised the 2024 comparative financial statement amounts presented herein and recorded the cumulative effect of periods prior to 2024 as an adjustment to beginning retained deficit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Immaterial Error Corrections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impact of the corrections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598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Adjustment for</w:t>
            </w:r>
          </w:p>
        </w:tc>
        <w:tc>
          <w:tcPr>
            <w:tcW w:w="1460" w:type="dxa"/>
            <w:vAlign w:val="bottom"/>
            <w:gridSpan w:val="4"/>
          </w:tcPr>
          <w:p>
            <w:pPr>
              <w:jc w:val="center"/>
              <w:ind w:right="256"/>
              <w:spacing w:after="0"/>
              <w:rPr>
                <w:sz w:val="20"/>
                <w:szCs w:val="20"/>
                <w:color w:val="auto"/>
              </w:rPr>
            </w:pPr>
            <w:r>
              <w:rPr>
                <w:rFonts w:ascii="Times New Roman" w:cs="Times New Roman" w:eastAsia="Times New Roman" w:hAnsi="Times New Roman"/>
                <w:sz w:val="18"/>
                <w:szCs w:val="18"/>
                <w:color w:val="auto"/>
                <w:w w:val="98"/>
              </w:rPr>
              <w:t>Adjustment for</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r>
      <w:tr>
        <w:trPr>
          <w:trHeight w:val="215"/>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1460" w:type="dxa"/>
            <w:vAlign w:val="bottom"/>
            <w:gridSpan w:val="4"/>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260" w:type="dxa"/>
            <w:vAlign w:val="bottom"/>
          </w:tcPr>
          <w:p>
            <w:pPr>
              <w:spacing w:after="0"/>
              <w:rPr>
                <w:sz w:val="20"/>
                <w:szCs w:val="20"/>
                <w:color w:val="auto"/>
              </w:rPr>
            </w:pPr>
          </w:p>
        </w:tc>
        <w:tc>
          <w:tcPr>
            <w:tcW w:w="1200" w:type="dxa"/>
            <w:vAlign w:val="bottom"/>
            <w:gridSpan w:val="3"/>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8"/>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46,357</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46,294</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25,613</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 December 31, 2023</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(172,134)</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(171,816)</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December 31, 2024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(197,918)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(197,538)</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12,348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1" w:right="339" w:bottom="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7920" w:firstLine="7"/>
        <w:spacing w:after="0" w:line="530" w:lineRule="auto"/>
        <w:tabs>
          <w:tab w:leader="none" w:pos="179"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DIVESTITURES Acquisition of Industrial Gas Acreage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7, 2025, we entered and simultaneously closed the transactions contemplated by, a purchase and sale agreement, with Synergy Offshore LLC (“Synergy”). Synergy is controlled by Mr. Duane H. King, a member of the Board of Directors of the Company, who serves as the Chief Executive Officer and Manager of Synergy, and John A. Weinzierl, the Company’s Chairman, who was then an approximate sixty percent beneficial owner of Synergy.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acquired approximately 24,000 net operated acres located across the Kevin Dome structure in Toole County, Montana, including all leases, wells, rights and interests in, under or derived from the acquired acreage subject to Synergy retaining an undivided twenty percent (20%) of Synergy’s right title and interest in the property.</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Consideration for the transaction consisted of the following: (a) $2.0 million in cash, subject to customary adjustments; (b) 1,400,000 shares of the Company’s common stock; (c) a carried working interest whereby the Company agreed to cover and pay for 100% of Synergy’s costs attributable to the Synergy acreage, until the earlier of (i) 78 months from the closing date; or (ii) the date the total costs associated therewith total $20 million; (d) our agreement to pay Synergy 18% of the cash amounts we actually realize from any law or regulation from our sequestration of carbon oxides or similar substances derived directly from an agreed area of mutual interest including Synergy’s acreage; and (e) our agreement to pay Synergy 18% of any gain we may receive in connection with the sale of the future, first, gas processing plant located on Synergy’s acreage. Total consideration was $4.9 million. The transaction was accounted for as an asset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incurred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32955" cy="136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Value of 1,400,000 shares issued</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61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consideration paid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9213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21385" cy="8255"/>
                    </a:xfrm>
                    <a:prstGeom prst="rect">
                      <a:avLst/>
                    </a:prstGeom>
                    <a:noFill/>
                  </pic:spPr>
                </pic:pic>
              </a:graphicData>
            </a:graphic>
          </wp:anchor>
        </w:drawing>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18" w:lineRule="exact"/>
        <w:rPr>
          <w:sz w:val="20"/>
          <w:szCs w:val="20"/>
          <w:color w:val="auto"/>
        </w:rPr>
      </w:pPr>
    </w:p>
    <w:p>
      <w:pPr>
        <w:ind w:left="1060" w:hanging="1058"/>
        <w:spacing w:after="0"/>
        <w:tabs>
          <w:tab w:leader="none" w:pos="10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w:t>
      </w:r>
    </w:p>
    <w:p>
      <w:pPr>
        <w:spacing w:after="0" w:line="38" w:lineRule="exact"/>
        <w:rPr>
          <w:rFonts w:ascii="Times New Roman" w:cs="Times New Roman" w:eastAsia="Times New Roman" w:hAnsi="Times New Roman"/>
          <w:sz w:val="17"/>
          <w:szCs w:val="17"/>
          <w:color w:val="auto"/>
        </w:rPr>
      </w:pPr>
    </w:p>
    <w:p>
      <w:pPr>
        <w:ind w:left="10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2,632</w:t>
      </w:r>
    </w:p>
    <w:p>
      <w:pPr>
        <w:spacing w:after="0" w:line="19" w:lineRule="exact"/>
        <w:rPr>
          <w:rFonts w:ascii="Times New Roman" w:cs="Times New Roman" w:eastAsia="Times New Roman" w:hAnsi="Times New Roman"/>
          <w:sz w:val="17"/>
          <w:szCs w:val="17"/>
          <w:color w:val="auto"/>
        </w:rPr>
      </w:pP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9213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21385" cy="8255"/>
                    </a:xfrm>
                    <a:prstGeom prst="rect">
                      <a:avLst/>
                    </a:prstGeom>
                    <a:noFill/>
                  </pic:spPr>
                </pic:pic>
              </a:graphicData>
            </a:graphic>
          </wp:anchor>
        </w:drawing>
      </w:r>
    </w:p>
    <w:p>
      <w:pPr>
        <w:ind w:left="1060" w:hanging="1058"/>
        <w:spacing w:after="0"/>
        <w:tabs>
          <w:tab w:leader="none" w:pos="10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4,957</w:t>
      </w:r>
    </w:p>
    <w:p>
      <w:pPr>
        <w:spacing w:after="0" w:line="246"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to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7" w:lineRule="exact"/>
        <w:rPr>
          <w:sz w:val="20"/>
          <w:szCs w:val="20"/>
          <w:color w:val="auto"/>
        </w:rPr>
      </w:pPr>
    </w:p>
    <w:p>
      <w:pPr>
        <w:ind w:left="160"/>
        <w:spacing w:after="0"/>
        <w:tabs>
          <w:tab w:leader="none" w:pos="9660" w:val="left"/>
          <w:tab w:leader="none" w:pos="10720" w:val="left"/>
        </w:tabs>
        <w:rPr>
          <w:sz w:val="20"/>
          <w:szCs w:val="20"/>
          <w:color w:val="auto"/>
        </w:rPr>
      </w:pPr>
      <w:r>
        <w:rPr>
          <w:rFonts w:ascii="Times New Roman" w:cs="Times New Roman" w:eastAsia="Times New Roman" w:hAnsi="Times New Roman"/>
          <w:sz w:val="18"/>
          <w:szCs w:val="18"/>
          <w:color w:val="auto"/>
        </w:rPr>
        <w:t>Unproved industrial gas properties</w:t>
      </w:r>
      <w:r>
        <w:rPr>
          <w:sz w:val="20"/>
          <w:szCs w:val="20"/>
          <w:color w:val="auto"/>
        </w:rPr>
        <w:tab/>
      </w: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26"/>
          <w:szCs w:val="26"/>
          <w:color w:val="auto"/>
          <w:vertAlign w:val="superscript"/>
        </w:rPr>
        <w:t>4,957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32955" cy="161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26, 2024, the Company entered into and closed the transactions contemplated by, a purchase and sale agreement with Wavetech Helium ("Wavetech" and the "Purchase Agreement"). Pursuant to the Purchase Agreement, effective June 1, 2024, the Company acquired 82.5% of Wavetech's rights under a farmout agreement for approximately 144,000 net acres located across the Kevin Dome Structure in Toole County, Montana (the "Assigned Rights"). The Assigned Rights vest upon the drilling of two wells on the property. As of December 31, 2025, the Company had completed its drilling commitment on the property. In consideration for the Assigned Rights, the Company paid Wavetech $2.0 million in cash and 2.6 million shares of restricted common stock, which were valued at $2.7 million on June 26, 2024. In addition, prior to the closing of the Purchase Agreement, the Company incurred $0.4 million of transaction costs related to the acquisition of the Assigned Rights. Additionally, the Company agreed to be responsible for 100% of capital costs, including costs related to project exploration, appraisal, development drilling and completion until $20.0 million has been incurred related to Wavetech's 17.5% interest. The Company accounted for the acquisition of the Assigned Rights as an asset acquisition.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the Company closed on two oil and natural gas property divestments, in Wyoming and in West Texas, for total net proceeds of $0.6 million. Relief of the associated asset retirement obligations for the properties divested was $5.6 million. The Company recorded the proceeds, net of transaction costs and final settlement adjustments, along with the associated asset retirement obligations to the full cost pool, with no gain or loss recognized in the Consolidated Statement of Operations.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the Company closed several divestment transactions of its oil and natural gas properties for total net proceeds of $14.0 million before transaction costs of $0.4 million. Relief of the associated asset retirement obligations for the properties divested was $5.4 million. The divestitures included several individual divestitures of wells in Garza, Karnes and Archer County, Texas, Sumner and Pratt County, Kansas, Kay County, Oklahoma and Lea County, New Mexico. The net proceeds from these transactions totaled $7.2 million. These divestitures did not have a significant impact to reserves volumes or the full cost pool depletion rate. As such, the Company recorded the proceeds, net of transaction costs and purchase price adjustments, to the full cost pool, with no gain or loss recognized in the Consolidated Statement of Operations. In addition, on December 31, 2024, the Company closed on the sale of properties in Anderson, Henderson and Liberty County, Texas. This divestiture represented 36% of the reserve volumes and 30% of the reserve value at the date of the divestment, and as such, the Company considered this a significant divestiture and recognized a $5.0 million loss on the sale of the properties in the Consolidated Statement of Operations for the year ended December 31,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share of revenue from the sale of oil, natural gas and natural gas liquids by region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8"/>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Rockies</w:t>
            </w: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Oil</w:t>
            </w:r>
          </w:p>
        </w:tc>
        <w:tc>
          <w:tcPr>
            <w:tcW w:w="3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and liquids</w:t>
            </w:r>
          </w:p>
        </w:tc>
        <w:tc>
          <w:tcPr>
            <w:tcW w:w="27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West Texas, South Texas, and Gulf Coast</w:t>
            </w:r>
          </w:p>
        </w:tc>
        <w:tc>
          <w:tcPr>
            <w:tcW w:w="2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Oil</w:t>
            </w: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Natural gas and liquids</w:t>
            </w:r>
          </w:p>
        </w:tc>
        <w:tc>
          <w:tcPr>
            <w:tcW w:w="27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Mid-Continent</w:t>
            </w: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Oil</w:t>
            </w:r>
          </w:p>
        </w:tc>
        <w:tc>
          <w:tcPr>
            <w:tcW w:w="2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and liquids</w:t>
            </w:r>
          </w:p>
        </w:tc>
        <w:tc>
          <w:tcPr>
            <w:tcW w:w="27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5"/>
        </w:trPr>
        <w:tc>
          <w:tcPr>
            <w:tcW w:w="580" w:type="dxa"/>
            <w:vAlign w:val="bottom"/>
          </w:tcPr>
          <w:p>
            <w:pPr>
              <w:spacing w:after="0"/>
              <w:rPr>
                <w:sz w:val="22"/>
                <w:szCs w:val="22"/>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shd w:val="clear" w:color="auto" w:fill="CCEEFF"/>
          </w:tcPr>
          <w:p>
            <w:pPr>
              <w:spacing w:after="0"/>
              <w:rPr>
                <w:sz w:val="22"/>
                <w:szCs w:val="22"/>
                <w:color w:val="auto"/>
              </w:rPr>
            </w:pPr>
          </w:p>
        </w:tc>
        <w:tc>
          <w:tcPr>
            <w:tcW w:w="560" w:type="dxa"/>
            <w:vAlign w:val="bottom"/>
          </w:tcPr>
          <w:p>
            <w:pPr>
              <w:spacing w:after="0"/>
              <w:rPr>
                <w:sz w:val="22"/>
                <w:szCs w:val="22"/>
                <w:color w:val="auto"/>
              </w:rPr>
            </w:pPr>
          </w:p>
        </w:tc>
      </w:tr>
      <w:tr>
        <w:trPr>
          <w:trHeight w:val="626"/>
        </w:trPr>
        <w:tc>
          <w:tcPr>
            <w:tcW w:w="580" w:type="dxa"/>
            <w:vAlign w:val="bottom"/>
          </w:tcPr>
          <w:p>
            <w:pPr>
              <w:spacing w:after="0"/>
              <w:rPr>
                <w:sz w:val="24"/>
                <w:szCs w:val="24"/>
                <w:color w:val="auto"/>
              </w:rPr>
            </w:pPr>
          </w:p>
        </w:tc>
        <w:tc>
          <w:tcPr>
            <w:tcW w:w="400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tcPr>
          <w:p>
            <w:pPr>
              <w:jc w:val="right"/>
              <w:ind w:right="1550"/>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Company’s right-of-use assets and lease liabilities are recognized at their discounted present value under the following captions in the Consolidated Balance Sheets as of December 31, 2025 and 2024:</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4"/>
          </w:tcPr>
          <w:p>
            <w:pPr>
              <w:jc w:val="right"/>
              <w:ind w:right="24"/>
              <w:spacing w:after="0"/>
              <w:rPr>
                <w:sz w:val="20"/>
                <w:szCs w:val="20"/>
                <w:color w:val="auto"/>
              </w:rPr>
            </w:pPr>
            <w:r>
              <w:rPr>
                <w:rFonts w:ascii="Times New Roman" w:cs="Times New Roman" w:eastAsia="Times New Roman" w:hAnsi="Times New Roman"/>
                <w:sz w:val="18"/>
                <w:szCs w:val="18"/>
                <w:color w:val="auto"/>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w:t>
            </w:r>
          </w:p>
        </w:tc>
        <w:tc>
          <w:tcPr>
            <w:tcW w:w="3360" w:type="dxa"/>
            <w:vAlign w:val="bottom"/>
            <w:gridSpan w:val="2"/>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9"/>
                <w:szCs w:val="19"/>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lease obligation</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lease obligation</w:t>
            </w:r>
          </w:p>
        </w:tc>
        <w:tc>
          <w:tcPr>
            <w:tcW w:w="23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on a straight-line basis excluding short-term and variable lease payments, which are recognized as incurred.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the amounts recognized as components of rental expense for the years ended December 31, 2025 and 2024:</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10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218$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7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118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8"/>
        </w:trPr>
        <w:tc>
          <w:tcPr>
            <w:tcW w:w="2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costs</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336$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Houston office operating lease commenced in May 2022 and is for a term of 67 months. The base rent under the lease escalates $0.50 per square foot each twelve-month period during the term of the lease. In addition, the Company is responsible for its share of operating expenses and tax expenses as defined in the lease.</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Short-term lease cost is associated with short-term lease agreements primarily related to compressors and field equipment rentals contracted for 12 months or less.</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Company’s office operating lease agreements did not contain implicit interest rates that could be readily determined; therefore, the Company used the incremental borrowing rates in effect at the time the Company entered into the leases.</w:t>
      </w:r>
    </w:p>
    <w:p>
      <w:pPr>
        <w:spacing w:after="0" w:line="15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0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lease term (years)</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of operating lease liabilities with terms of one year or more as of December 31, 2025 are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8"/>
        </w:trPr>
        <w:tc>
          <w:tcPr>
            <w:tcW w:w="376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80" w:type="dxa"/>
            <w:vAlign w:val="bottom"/>
            <w:gridSpan w:val="2"/>
          </w:tcPr>
          <w:p>
            <w:pPr>
              <w:ind w:left="59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9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5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9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376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760" w:type="dxa"/>
            <w:vAlign w:val="bottom"/>
            <w:tcBorders>
              <w:bottom w:val="single" w:sz="8" w:color="auto"/>
            </w:tcBorders>
          </w:tcPr>
          <w:p>
            <w:pPr>
              <w:spacing w:after="0"/>
              <w:rPr>
                <w:sz w:val="9"/>
                <w:szCs w:val="9"/>
                <w:color w:val="auto"/>
              </w:rPr>
            </w:pPr>
          </w:p>
        </w:tc>
        <w:tc>
          <w:tcPr>
            <w:tcW w:w="59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6720" w:firstLine="7"/>
        <w:spacing w:after="0" w:line="500" w:lineRule="auto"/>
        <w:tabs>
          <w:tab w:leader="none" w:pos="179"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OIL AND NATURAL GAS PRODUCING ACTIVITIES Unevaluated Properties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had no unevaluated oil and natural gas properties.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Ceiling Test and Impairment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2025 and 2024, the Company recorded $3.6 million and $11.9 million, respectively, of ceiling test write-downs of its oil and natural gas properties. The impairment resulted from declines in commodity prices used in the ceiling test calculation and reduced the carrying value of oil and natural gas properties.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reserves used in the ceiling test incorporate assumptions regarding pricing and discount rates over which management has no influence in the determination of present value. In the calculation of the ceiling test as of December 31, 2025, the Company used $65.34 per barrel for oil and $3.39 per one million British Thermal Units (MMbtu) for natural gas (as further adjusted for property, specific gravity, quality, local markets and distance from markets) to compute the future cash flows of the Company’s producing properties. In the calculation of the ceiling test as of December 31, 2024, the Company used $75.48 per barrel for oil and $2.13 per one million British Thermal Units (MMbtu) for natural gas (as further adjusted for property, specific gravity, quality, local markets and distance from markets) to compute the future cash flows of the Company’s producing properties. The discount factor used for both years was 10%.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5, 2022, the Company entered into a four-year credit agreement (“Credit Agreement”) with FirstBank Southwest (“FirstBank”) as administrative agent for one or more lenders (the “Lenders”), which provided for a revolving line of credit with an initial borrowing base of $15 million, and a maximum credit amount of $100 million. Borrowings under the Credit Agreement are collateralized by a first priority, perfected lien and security interests on substantially all assets of the Company (subject to permitted liens and other customary exceptions). On July 26, 2022, the Company entered into a letter agreement with FirstBank whereby it increased the borrowing base under the Credit Agreement from $15 million to $20 million. Under the Credit Agreement, revolving loans may be borrowed, repaid and re-borrowed until January 5, 2026, when all outstanding amounts must be repaid.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16, 2025, effective August 1, 2025, the Company entered into a First Amendment to Credit Agreement and Limited Waiver ("Amendment") with FirstBank, as administrative agent for the lenders party thereto, and such lenders. Significant revisions made to the Credit Amendment as a result of the Amendment include extending the maturity date of amounts owed from January 5, 2026 to May 31, 2029, lowering the borrowing base from $20 million to $10 million and deferring the next test period for the ratio of total debt to EBITDAX to March 31, 2026. During 2025, the Company expensed $53 thousand of remaining capitalized deferred financing costs associated with the Credit Agreement and capitalized $60 thousand of deferred financing costs attributable to the Amendment.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Credit Agreement, revolving loans may be borrowed, repaid and re-borrowed until May 31, 2029, when all outstanding amounts must be repaid. Interest on the outstanding amounts under the Credit Agreement will accrue at an interest rate equal to the greater of (i) the prime rate in effect on such day, and (ii) the Federal Funds rate in effect on such day (as determined in the Credit Agreement) plus 0.50%, and an applicable margin that ranges between 0.25% to 1.25% depending on utilization of the amount of the borrowing base (the “Applicable Margin”). In addition, there is a fee on the unused borrowing commitment of 0.5%.</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Interest charges recognized on the Credit Agreement, excluding debt issuance cost amortization and the fee for the unused commitment, and the weighted average interest rates for the years ended December 31, 2025 and 2024 are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5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r>
      <w:tr>
        <w:trPr>
          <w:trHeight w:val="208"/>
        </w:trPr>
        <w:tc>
          <w:tcPr>
            <w:tcW w:w="5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7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1"/>
              </w:rPr>
              <w:t>thousands)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38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bl>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Credit Agreement contains various restrictive covenants and compliance requirements, which include: (i) maintenance of certain financial ratios, as defined in the Credit Agreement tested quarterly, that limit the Company’s ratio of total debt to EBITDAX (as defined in the Credit Agreement) to 3:1 and require its ratio of consolidated current assets to consolidated current liabilities (as each is described in the Credit Agreement) to remain at 1:1 or higher; (ii) restrictions on making certain payments as defined in the Credit Agreement, including the payment of cash dividends and repurchases of equity interests (subject to certain limited rights to make restricted payments as long as no event of default has occurred, or would result from the restricted payment, certain financial ratios are met and the borrowing availability after giving pro forma effect to any borrowing to be made on the date of the restricted payment is greater than, or equal to, 20% of the then existing borrowing base); (iii) limits on the incurrence of additional indebtedness; (iv) a prohibition on the entry into commodity swap contracts exceeding a specified percentage of our expected production; and (v) restrictions on the disposition of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COMMODITY DERIVATIVES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and cash flows are affected by changes in market prices for crude oil and natural gas. To manage a portion of its exposure to price volatility from producing crude oil and natural gas, the Company may enter into commodity derivative contracts to protect against price declines in future periods. The Company does not enter into derivative contracts for speculative purposes. The Company does not apply hedge accounting. Accordingly, changes in the fair value of the derivative contracts are recorded in the Consolidated Statements of Operations and are included as a non-cash adjustment to net income in the operating activities section in the Consolidated Statement of Cash Flows.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were no derivative contracts outstanding as of December 31, 2025 and 2024. During 2024, the Company settled all of its outstanding commodity derivative contracts for 2024 and 2025 production, receiving $1.8 million in settlement proceeds.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All commodity derivative contracts held by the Company were subject to master netting arrangements with its counterparty. The terms of the Company’s derivative agreements provide for offsetting of amounts payable or receivable between it and the counterparty for contracts that settle on the same date. The Company’s agreements also provide that in the event of an early termination, the counterparty has the right to offset amounts owed or owing under that and any other agreement. The Company’s accounting policy is to offset positions when we have a right of offset or master netting arrangement.</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components of the commodity derivative settlement gain (loss) as well as the components of the net derivative loss line-item presentation in the accompanying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6"/>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 settlement gains (losses):</w:t>
            </w:r>
          </w:p>
        </w:tc>
        <w:tc>
          <w:tcPr>
            <w:tcW w:w="3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contracts</w:t>
            </w:r>
          </w:p>
        </w:tc>
        <w:tc>
          <w:tcPr>
            <w:tcW w:w="44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derivative settlement gains (losses)</w:t>
            </w:r>
          </w:p>
        </w:tc>
        <w:tc>
          <w:tcPr>
            <w:tcW w:w="44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net commodity derivative gains (losses):</w:t>
            </w:r>
          </w:p>
        </w:tc>
        <w:tc>
          <w:tcPr>
            <w:tcW w:w="3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Oil contracts</w:t>
            </w:r>
          </w:p>
        </w:tc>
        <w:tc>
          <w:tcPr>
            <w:tcW w:w="44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commodity derivative gains (losses)</w:t>
            </w:r>
          </w:p>
        </w:tc>
        <w:tc>
          <w:tcPr>
            <w:tcW w:w="44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344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85</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 RETIREMENT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asset retirement obligations (“ARO”) associated with the future plugging and abandonment of industrial gas and oil and natural gas properties. Initially, the fair value of a liability for an ARO is recorded in the period in which the ARO is incurred with a corresponding increase in the carrying amount of the related asset. The liability is accreted to its present value each period and the capitalized cost is depleted over the life of the related asset. For oil and natural gas properties, if the liability is settled for an amount other than the recorded amount, an adjustment to the full-cost pool is recognized. The Company had no assets that are restricted for the purpose of settling ARO. For industrial gas properties, if the liability is settled for an amount other than the recorded amount, an adjustment to operating expenses in the Consolidated Statement of Operations is recognized.</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fair value calculation for the ARO there are numerous assumptions and judgments including the ultimate retirement cost, inflation factors, credit-adjusted risk-free discount rates, timing of retirement and changes in legal, regulatory, environmental, and political environments. To the extent future revisions to assumptions and judgments impact the present value of the existing ARO, a corresponding adjustment is made to the oil and natural gas or industrial gas property balance.</w:t>
      </w:r>
    </w:p>
    <w:p>
      <w:pPr>
        <w:spacing w:after="0" w:line="18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following is a reconciliation of the changes in the Company’s liabilities for asset retirement obligations for the years ended December 31, 2025 and 2024:</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160" w:type="dxa"/>
            <w:vAlign w:val="bottom"/>
            <w:gridSpan w:val="2"/>
          </w:tcPr>
          <w:p>
            <w:pPr>
              <w:jc w:val="right"/>
              <w:ind w:right="475"/>
              <w:spacing w:after="0"/>
              <w:rPr>
                <w:sz w:val="20"/>
                <w:szCs w:val="20"/>
                <w:color w:val="auto"/>
              </w:rPr>
            </w:pPr>
            <w:r>
              <w:rPr>
                <w:rFonts w:ascii="Times New Roman" w:cs="Times New Roman" w:eastAsia="Times New Roman" w:hAnsi="Times New Roman"/>
                <w:sz w:val="18"/>
                <w:szCs w:val="18"/>
                <w:color w:val="auto"/>
                <w:w w:val="74"/>
              </w:rPr>
              <w:t>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9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Acquired</w:t>
            </w: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life revisions</w:t>
            </w:r>
          </w:p>
        </w:tc>
        <w:tc>
          <w:tcPr>
            <w:tcW w:w="1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(1,304)</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related to disposition</w:t>
            </w:r>
          </w:p>
        </w:tc>
        <w:tc>
          <w:tcPr>
            <w:tcW w:w="1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(5,571)</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19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end of year</w:t>
            </w:r>
          </w:p>
        </w:tc>
        <w:tc>
          <w:tcPr>
            <w:tcW w:w="29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2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8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 - current</w:t>
            </w:r>
          </w:p>
        </w:tc>
        <w:tc>
          <w:tcPr>
            <w:tcW w:w="29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 - noncurrent</w:t>
            </w:r>
          </w:p>
        </w:tc>
        <w:tc>
          <w:tcPr>
            <w:tcW w:w="19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end of year</w:t>
            </w:r>
          </w:p>
        </w:tc>
        <w:tc>
          <w:tcPr>
            <w:tcW w:w="29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4520" w:firstLine="7"/>
        <w:spacing w:after="0" w:line="500" w:lineRule="auto"/>
        <w:tabs>
          <w:tab w:leader="none" w:pos="17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RELATED PARTY TRANSACTIONS Contingencies</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is subject to litigation and claims arising in the ordinary course of business. The Company accrues for such items when a liability is both probable and the amount can be reasonably estimated. In the opinion of management, the anticipated results of any pending litigation and claims are not expected to have a material effect on the consolidated results of operations, the financial position, or the cash flows of the Company.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December 31, 2025 and 2024, the Company had 245,000,000 common stock shares authorized. In addition, at December 31, 2025 and 2024, the Company had 5,000,000 authorized but unissued shares of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Equity Facility</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9,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 Common Stock Purchase Agreement and related Registration Rights Agreement with Roth Principal Investments, LLC (“Roth Principal”), providing a discretionary equity facility of up to $25.0 million. Beginning December 1, 2025, the Company may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its option over 24 months from the date the resale registration is declared effective and certain other conditions are met, sell shares of common stock to Roth Principal at a price based on the Nasdaq volume weighted average prices during a specific pricing period, less a 2.5% discount, subject to pricing and ownership limits. The facility is capped at 19.99% of outstanding shares of the Company’s common stock as of the date of the Company’s entry into the Common Stock Purchase Agreement, absent shareholder approval or satisfaction of the Nasdaq pricing exemption and includes a 4.99% beneficial-ownership blocker. As consideration, the Company paid a $25 thousand structuring fee, issued 223,141 shares of common stock as a partial commitment fee (valued at $270,000)(the “Stock Commitment Fee”), agreed to a $180 thousand cash commitment fee, and to reimburse legal fees. Proceeds, if any, are expected to be used for working capital and general corporate purposes. Under the Purchase Agreement, the Company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be required to make a cash “make-whole” payment of up to $270,000 (the value of the Stock Commitment Fee”) if, under certain conditions, Roth Principal receives less than $270,000 in total cash proceeds from the resale of such shares before certain specified dates. In such a case, Roth Principal would return to the Company for cancellation any unsold commitment shares. The Company did not issue any shares under the committed equity facility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Issuance</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January 22, 2025, the Company entered into an underwriting agreement for the offering of 4,871,400 shares of common stock, at a price to the public of $2.65 per share (such offering, the “Offering”).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4,871,400 shares of common stock (including the full 635,400 over-allotment option) in connection with the Offering, closed on January 23, 2025. The Company generated approximately $11.9 million of net proceeds from the Offering, after deducting the underwriting discounts and commissions and offering costs payable by us, and has used and plans to continue to use such proceeds for the development of its recent acquisition in Montana, general corporate purposes, and working capital, or for other purposes that our board of directors, in their good faith, deems to be in the best interest of the Company. Additionally, management used $1.574 million from the over-allotment option exercise to purchase shares of common stock from Sage Road</w:t>
      </w:r>
    </w:p>
    <w:p>
      <w:pPr>
        <w:sectPr>
          <w:pgSz w:w="11900" w:h="16838" w:orient="portrait"/>
          <w:cols w:equalWidth="0" w:num="1">
            <w:col w:w="11240"/>
          </w:cols>
          <w:pgMar w:left="320" w:top="121" w:right="339" w:bottom="0" w:gutter="0" w:footer="0" w:header="0"/>
        </w:sectPr>
      </w:pPr>
    </w:p>
    <w:bookmarkStart w:id="94" w:name="page95"/>
    <w:bookmarkEnd w:id="94"/>
    <w:p>
      <w:pPr>
        <w:jc w:val="both"/>
        <w:spacing w:after="0" w:line="280" w:lineRule="auto"/>
        <w:rPr>
          <w:sz w:val="20"/>
          <w:szCs w:val="20"/>
          <w:color w:val="auto"/>
        </w:rPr>
      </w:pPr>
      <w:r>
        <w:rPr>
          <w:rFonts w:ascii="Times New Roman" w:cs="Times New Roman" w:eastAsia="Times New Roman" w:hAnsi="Times New Roman"/>
          <w:sz w:val="18"/>
          <w:szCs w:val="18"/>
          <w:color w:val="auto"/>
        </w:rPr>
        <w:t>Capital, LLC (whose co-manager, Joshua L. Batchelor, was a then member of the Board of Directors of the Company) and its affiliates at a price equal to the public offering price of the Offering, less underwriting discounts, which sale took place in January 2025, as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Share Repurchase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27, 2025, 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may be deemed to beneficially own the shares of common stock held by the Selling Stockholders.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Share Repurchase Agreement, the Company, in a private transaction, outside of, and separate from the Company’s previously disclosed share repurchase program, on January 27,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repurchased (a) 534,020 shares of common stock held by Banner, (b) 41,229 shares of common stock held by Woodford, and (c) 60,151 shares of common stock held by Sage Road, for an aggregate of $1.574 million or approximately $2.48 per share, which was the net price per share of the 4,871,400 shares of common stock sold in our underwritten public offering which closed on January 23, 2025, less underwriting discounts and commissions, and which represented an 8.2% premium to the closing sales price of the Company's common stock on January 27,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From time to time, the Company may grant stock options under its incentive plan covering shares of common stock to employees of the Company. Stock options, when exercised, are settled through the payment of the exercise price in exchange for new shares of stock underlying the option. These awards typically expire ten years from the grant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2025 and 2024, there was no compensation expense related to stock options. As of December 31, 2025 and 2024, all stock options had vested. The had stock options to purchase 16.5 thousand and 22.2 thousand shares of common stock with an average exercise price of $ 10.00 and $30.48 as of December 31, 2025 and 2024. The remaining term is approximately 1.8 years. The options had de minimis intrinsic values for the periods reported.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grants restricted stock under its incentive plan covering shares of common stock to employees and directors of the Company. The restricted stock awards are time-based awards and are amortized ratably over the requisite service period. Restricted stock vests ratably on each anniversary following the grant date provided the grantee is employed on the vesting date. Forfeitures of restricted stock awards are recognized as they occur. Restricted stock granted to employees, when vested, may be net settled through the net issuance of shares, reduced by the number of shares required to pay withholding taxes. Non-vested shares of restricted stock are not included in common shares outstanding until vesting has occurred.</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changes in non-vested, time-based restricted stock awards to all employees and directors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Weighted-Avg.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at December 31, 2024</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1,450,695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1,140,000</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(1,086,015)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Modifications (accelerated vesting)</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restricted stock at December 31, 2025</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1,428,680</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87</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the stock compensation expense related to restricted stock grants for the years ended December 31, 2025 and 2024:</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8"/>
        </w:trPr>
        <w:tc>
          <w:tcPr>
            <w:tcW w:w="5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6"/>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9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1,853</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Total compensation cost related to non-vested time-based awards not yet recognized in the Company’s Consolidated Statements of Operations as of December 31, 2025 is $841 thousand. This cost is expected to be recognized over a weighted average period of 1.46 years. As of December 31, 2025, the Company had 4,201,742 shares available for issuance under its 2022 Stock Incentive Plan.</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26, 2023, the Board of Directors of the Company authorized and approved a share repurchase program for up to $5.0 million of the outstanding shares of the Company’s common stock. On March 19, 2024, the Board of Directors of the Company authorized and approved an extension of the ongoing share repurchase program for up to $5.0 million of the currently outstanding shares of the Company’s common stock, which was set to expire on June 30, 2025, and was extended until June 30, 2026.</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stock repurchase program, shares are repurchased from time to time in the open market or through negotiated transactions at prevailing market prices,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repurchased shares are cancelled and therefore will not be held in treasury or reissued.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for the share repurchase program for the years ended December 31, 2025 and 2024:</w:t>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8"/>
        </w:trPr>
        <w:tc>
          <w:tcPr>
            <w:tcW w:w="5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 except</w:t>
            </w:r>
          </w:p>
        </w:tc>
        <w:tc>
          <w:tcPr>
            <w:tcW w:w="100" w:type="dxa"/>
            <w:vAlign w:val="bottom"/>
          </w:tcPr>
          <w:p>
            <w:pPr>
              <w:spacing w:after="0"/>
              <w:rPr>
                <w:sz w:val="18"/>
                <w:szCs w:val="18"/>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 share amounts)</w:t>
            </w:r>
          </w:p>
        </w:tc>
      </w:tr>
      <w:tr>
        <w:trPr>
          <w:trHeight w:val="215"/>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2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r>
      <w:tr>
        <w:trPr>
          <w:trHeight w:val="21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280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1.604</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 of shares repurchased</w:t>
            </w:r>
          </w:p>
        </w:tc>
        <w:tc>
          <w:tcPr>
            <w:tcW w:w="2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bl>
    <w:p>
      <w:pPr>
        <w:spacing w:after="0" w:line="197" w:lineRule="exact"/>
        <w:rPr>
          <w:sz w:val="20"/>
          <w:szCs w:val="20"/>
          <w:color w:val="auto"/>
        </w:rPr>
      </w:pPr>
    </w:p>
    <w:p>
      <w:pPr>
        <w:ind w:left="20" w:right="180"/>
        <w:spacing w:after="0" w:line="256" w:lineRule="auto"/>
        <w:rPr>
          <w:sz w:val="20"/>
          <w:szCs w:val="20"/>
          <w:color w:val="auto"/>
        </w:rPr>
      </w:pPr>
      <w:r>
        <w:rPr>
          <w:rFonts w:ascii="Times New Roman" w:cs="Times New Roman" w:eastAsia="Times New Roman" w:hAnsi="Times New Roman"/>
          <w:sz w:val="18"/>
          <w:szCs w:val="18"/>
          <w:color w:val="auto"/>
        </w:rPr>
        <w:t>Under the stock repurchase program, shares are repurchased from time to time in the open market or through negotiated transactions at prevailing market prices,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repurchased shares are cancelled and therefore will not be held in treasury or reissued.</w:t>
      </w:r>
    </w:p>
    <w:p>
      <w:pPr>
        <w:spacing w:after="0" w:line="200" w:lineRule="exact"/>
        <w:rPr>
          <w:sz w:val="20"/>
          <w:szCs w:val="20"/>
          <w:color w:val="auto"/>
        </w:rPr>
      </w:pPr>
    </w:p>
    <w:p>
      <w:pPr>
        <w:spacing w:after="0" w:line="224" w:lineRule="exact"/>
        <w:rPr>
          <w:sz w:val="20"/>
          <w:szCs w:val="20"/>
          <w:color w:val="auto"/>
        </w:rPr>
      </w:pPr>
    </w:p>
    <w:p>
      <w:pPr>
        <w:ind w:left="20" w:right="9280" w:firstLine="7"/>
        <w:spacing w:after="0" w:line="530" w:lineRule="auto"/>
        <w:tabs>
          <w:tab w:leader="none" w:pos="279"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 Adoption of ASU 2023-09</w:t>
      </w:r>
    </w:p>
    <w:p>
      <w:pPr>
        <w:spacing w:after="0" w:line="1"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The Company adopted Accounting Standards Update (ASU) 2023-09, Income Taxes (Topic 740): Improvements to Income Tax Disclosures, effective January 1, 2025. The amendments expand the Company’s income tax disclosure requirements but do not impact its consolidated financial position, results of operations, or cash flows.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Income Tax Expense</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the income tax provision for the years ended December 31, 2025 and 2024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1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income tax</w:t>
            </w:r>
          </w:p>
        </w:tc>
        <w:tc>
          <w:tcPr>
            <w:tcW w:w="31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1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31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1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60"/>
          </w:cols>
          <w:pgMar w:left="300" w:top="121" w:right="339" w:bottom="628"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628"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Reconciliation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U.S. federal statutory income tax rate to the Company’s effective income tax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 in thousands):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72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b w:val="1"/>
                <w:bCs w:val="1"/>
                <w:color w:val="auto"/>
              </w:rPr>
              <w:t>Reconciling Item</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 (loss)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(14,368)</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(25,613)</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Tax at U.S. federal statutory rate (21%)</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(3,032)</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Effects of tax law changes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effective tax rate differs from the U.S. federal statutory rate primarily due to changes in valuation allowance, state income taxes, and nondeductible expenses. The Company does not have foreign operations, tax credit activity, or uncertain tax positions that materially impact the effective tax 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as of December 31, 2025 and 2024 are as follows: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25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Percentage depletion and contribution carryovers</w:t>
            </w: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obligations</w:t>
            </w: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assets</w:t>
            </w: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(25,919)</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5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Taxes Paid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was as follows for the years ended December 31, 2025 and 2024 (in thousands):</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4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4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Taxes Paid</w:t>
            </w:r>
          </w:p>
        </w:tc>
        <w:tc>
          <w:tcPr>
            <w:tcW w:w="34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foreign operations.</w:t>
      </w:r>
    </w:p>
    <w:p>
      <w:pPr>
        <w:sectPr>
          <w:pgSz w:w="11900" w:h="16838" w:orient="portrait"/>
          <w:cols w:equalWidth="0" w:num="1">
            <w:col w:w="11240"/>
          </w:cols>
          <w:pgMar w:left="320" w:top="121" w:right="339" w:bottom="695"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695"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December 31, 2025, the Company has approximately $28.1 million in net operating loss carryovers for federal income tax purposes. Net operating losses incurred prior to January 5, 2022 are subject to an Internal Revenue Code (IRC) Section 382 limitations due to a change of control on that date.</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also has approximately $10.6 million of realized built-in loss ("RBIL") carryovers that carry forward indefinitely subject to annual limitations.</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recognizes, measures, and discloses uncertain tax positions under the “more-likely-than-not” threshold. The Company has no uncertain tax positions.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files income tax returns in U.S. federal and multiple state jurisdictions. It is generally not subject to federal tax examinations for years prior to 2021 and remains open for various state tax examinations for tax years 2020 and later.</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(LOSS) PER SHARE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income (loss) per common share is calculated by dividing net income (loss) attributable to common shareholders by the weighted-average number of common shares outstanding for the respective period. Diluted net income (loss) per common share is calculated by dividing adjusted net income (loss) by the diluted weighted average number of common shares outstanding, which includes the effect of potentially dilutive securities. Potentially dilutive securities for this calculation consist of stock options and unvested shares of restricted common stock, which are measured using the treasury stock method. When the Company recognizes a net loss, as was the case for the years ended December 31, 2025 and 2024, all potentially dilutive shares are anti-dilutive and are consequently excluded from the calculation of dilutive net loss per common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(loss) per share for the years ended December 31,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Net income (loss) attributable to common shareholders</w:t>
      </w:r>
    </w:p>
    <w:p>
      <w:pPr>
        <w:spacing w:after="0" w:line="234" w:lineRule="exact"/>
        <w:rPr>
          <w:sz w:val="20"/>
          <w:szCs w:val="20"/>
          <w:color w:val="auto"/>
        </w:rPr>
      </w:pPr>
    </w:p>
    <w:p>
      <w:pPr>
        <w:ind w:left="560" w:right="500"/>
        <w:spacing w:after="0" w:line="296" w:lineRule="auto"/>
        <w:rPr>
          <w:sz w:val="20"/>
          <w:szCs w:val="20"/>
          <w:color w:val="auto"/>
        </w:rPr>
      </w:pPr>
      <w:r>
        <w:rPr>
          <w:rFonts w:ascii="Times New Roman" w:cs="Times New Roman" w:eastAsia="Times New Roman" w:hAnsi="Times New Roman"/>
          <w:sz w:val="17"/>
          <w:szCs w:val="17"/>
          <w:color w:val="auto"/>
        </w:rPr>
        <w:t>Basic weighted-average common shares outstanding Dilutive effect of potentially dilutive securities</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net loss per share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Diluted net loss per share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1820" w:type="dxa"/>
        <w:tblCellMar>
          <w:top w:w="0" w:type="dxa"/>
          <w:left w:w="0" w:type="dxa"/>
          <w:bottom w:w="0" w:type="dxa"/>
          <w:right w:w="0" w:type="dxa"/>
        </w:tblCellMar>
      </w:tblPr>
      <w:tr>
        <w:trPr>
          <w:trHeight w:val="237"/>
        </w:trPr>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r>
      <w:tr>
        <w:trPr>
          <w:trHeight w:val="190"/>
        </w:trPr>
        <w:tc>
          <w:tcPr>
            <w:tcW w:w="200" w:type="dxa"/>
            <w:vAlign w:val="bottom"/>
          </w:tcPr>
          <w:p>
            <w:pPr>
              <w:spacing w:after="0"/>
              <w:rPr>
                <w:sz w:val="16"/>
                <w:szCs w:val="16"/>
                <w:color w:val="auto"/>
              </w:rPr>
            </w:pPr>
          </w:p>
        </w:tc>
        <w:tc>
          <w:tcPr>
            <w:tcW w:w="3080" w:type="dxa"/>
            <w:vAlign w:val="bottom"/>
            <w:gridSpan w:val="6"/>
          </w:tcPr>
          <w:p>
            <w:pPr>
              <w:jc w:val="right"/>
              <w:ind w:right="380"/>
              <w:spacing w:after="0" w:line="190" w:lineRule="exact"/>
              <w:rPr>
                <w:sz w:val="20"/>
                <w:szCs w:val="20"/>
                <w:color w:val="auto"/>
              </w:rPr>
            </w:pPr>
            <w:r>
              <w:rPr>
                <w:rFonts w:ascii="Times New Roman" w:cs="Times New Roman" w:eastAsia="Times New Roman" w:hAnsi="Times New Roman"/>
                <w:sz w:val="18"/>
                <w:szCs w:val="18"/>
                <w:color w:val="auto"/>
              </w:rPr>
              <w:t>(in thousands except per share data)</w:t>
            </w:r>
          </w:p>
        </w:tc>
      </w:tr>
      <w:tr>
        <w:trPr>
          <w:trHeight w:val="234"/>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(14,374)</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(25,633)</w:t>
            </w:r>
          </w:p>
        </w:tc>
      </w:tr>
      <w:tr>
        <w:trPr>
          <w:trHeight w:val="411"/>
        </w:trPr>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60" w:type="dxa"/>
            <w:vAlign w:val="bottom"/>
          </w:tcPr>
          <w:p>
            <w:pPr>
              <w:spacing w:after="0"/>
              <w:rPr>
                <w:sz w:val="24"/>
                <w:szCs w:val="24"/>
                <w:color w:val="auto"/>
              </w:rPr>
            </w:pPr>
          </w:p>
        </w:tc>
      </w:tr>
      <w:tr>
        <w:trPr>
          <w:trHeight w:val="233"/>
        </w:trPr>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08"/>
        </w:trPr>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6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2"/>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(0.43)</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34"/>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(0.43)</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-1125855</wp:posOffset>
            </wp:positionV>
            <wp:extent cx="6416040" cy="136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-3154045</wp:posOffset>
            </wp:positionH>
            <wp:positionV relativeFrom="paragraph">
              <wp:posOffset>-852805</wp:posOffset>
            </wp:positionV>
            <wp:extent cx="6416040" cy="136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-3154045</wp:posOffset>
            </wp:positionH>
            <wp:positionV relativeFrom="paragraph">
              <wp:posOffset>-571500</wp:posOffset>
            </wp:positionV>
            <wp:extent cx="6416040" cy="161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6040" cy="161925"/>
                    </a:xfrm>
                    <a:prstGeom prst="rect">
                      <a:avLst/>
                    </a:prstGeom>
                    <a:noFill/>
                  </pic:spPr>
                </pic:pic>
              </a:graphicData>
            </a:graphic>
          </wp:anchor>
        </w:drawing>
        <w:drawing>
          <wp:anchor simplePos="0" relativeHeight="251657728" behindDoc="1" locked="0" layoutInCell="0" allowOverlap="1">
            <wp:simplePos x="0" y="0"/>
            <wp:positionH relativeFrom="column">
              <wp:posOffset>-3154045</wp:posOffset>
            </wp:positionH>
            <wp:positionV relativeFrom="paragraph">
              <wp:posOffset>-272415</wp:posOffset>
            </wp:positionV>
            <wp:extent cx="6416040" cy="136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85090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2">
            <w:col w:w="4820" w:space="720"/>
            <w:col w:w="570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years ended December 31, 2025 and 2024, potentially dilutive securities were excluded from the calculation of weighted average shares because they were anti-dilutive are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6800" w:type="dxa"/>
            <w:vAlign w:val="bottom"/>
            <w:gridSpan w:val="2"/>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4"/>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shares of restricted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fair value measurements are estimated pursuant to a fair value hierarchy that requires us to maximize the use of observable inputs and minimize the use of unobservable inputs when measuring fair value. The valuation hierarchy is based upon the transparency of inputs to the valuation of an asset or liability as of the measurement date, giving highest priority to quoted prices in active markets (Level 1) and the lowest priority to unobservable data (Level 3). In some cases, the inputs used to measure fair value might fall in different levels of the fair value hierarchy. The lowest level input that is significant to a fair value measurement in its entirety determines the applicable level in the fair value hierarchy. Assessing the significance of a particular input to the fair value measurement in its entirety requires judgment, considering factors specific to the asset or liability, and may affect the valuation of the assets and liabilities and their placement within the hierarchy level. The three levels of inputs that may be used to measure fair value are defined 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assets and liabilities traded in active markets.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2 - Observable inputs other than Level 1 that are directly or indirectly observable for the asset or liability, including quoted prices for similar assets or liabilities in active markets, quoted prices for identical or similar assets or liabilities in active markets, or other observable inputs that can be corroborated by observable market data.</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3 - 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 following is a description of the valuation methodologies used for complex financial instruments measured at fair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Equity Securities Valuation Methodologies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measure the fair value of marketable equity securities based on quoted market prices obtained from independent pricing services. The Company has an investment in the marketable equity securities of Anfield Energy (“Anfield”), which it acquired as consideration for sales of certain mining operations. Anfield is traded in an active market under the trading symbol AEC:TSXV and has been classified as Level 1.</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owned</w:t>
            </w:r>
          </w:p>
        </w:tc>
        <w:tc>
          <w:tcPr>
            <w:tcW w:w="2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Quoted market price</w:t>
            </w:r>
          </w:p>
        </w:tc>
        <w:tc>
          <w:tcPr>
            <w:tcW w:w="33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5.14173</w:t>
            </w:r>
          </w:p>
        </w:tc>
        <w:tc>
          <w:tcPr>
            <w:tcW w:w="20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value</w:t>
            </w:r>
          </w:p>
        </w:tc>
        <w:tc>
          <w:tcPr>
            <w:tcW w:w="33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165,985</w:t>
            </w: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to sell shares</w:t>
            </w:r>
          </w:p>
        </w:tc>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w:t>
            </w:r>
          </w:p>
        </w:tc>
        <w:tc>
          <w:tcPr>
            <w:tcW w:w="33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145,985</w:t>
            </w:r>
          </w:p>
        </w:tc>
        <w:tc>
          <w:tcPr>
            <w:tcW w:w="20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approximates fair value because the interest rate is variable and reflective of market rates.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 fair value due to the short-term nature of those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the fair value of asset retirement obligations as of the date a well is acquired, the date a well begins drilling, or the date the Company revises its ARO assumptions. The Company’s estimated asset retirement obligation is based on historical experience in plugging and abandoning wells, estimated economic lives, estimated plugging and abandonment costs and federal and state regulatory requirements, all unobservable inputs, and therefore, are designated as Level 3 within the valuation hierarchy. The liability is discounted using the credit-adjusted risk-free rate estimated at the time the liability is incurred or revised upward. The credit adjusted risk-free rate used to discount the Company’s plugging and abandonment liabilities range from 7.30% to 19.00%.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1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OTHER CURRENT ASSETS AND ACCOUNTS PAYABLE AND ACCRUED LIABILITIES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current asset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of the dates indicated: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2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8"/>
        </w:trPr>
        <w:tc>
          <w:tcPr>
            <w:tcW w:w="12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6"/>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12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197"/>
        </w:trPr>
        <w:tc>
          <w:tcPr>
            <w:tcW w:w="772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Joint interest billings receivable, net of allowance of $380 and $100 as of December 31, 2025 and 2024,</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5"/>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r>
      <w:tr>
        <w:trPr>
          <w:trHeight w:val="21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7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12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7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2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411"/>
        </w:trPr>
        <w:tc>
          <w:tcPr>
            <w:tcW w:w="77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accounts payable and accrued liabilities as of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8"/>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6"/>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18"/>
                <w:szCs w:val="18"/>
                <w:color w:val="auto"/>
              </w:rPr>
            </w:pPr>
          </w:p>
        </w:tc>
      </w:tr>
      <w:tr>
        <w:trPr>
          <w:trHeight w:val="21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accruals</w:t>
            </w: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8"/>
                <w:szCs w:val="18"/>
                <w:color w:val="auto"/>
              </w:rPr>
            </w:pPr>
          </w:p>
        </w:tc>
      </w:tr>
      <w:tr>
        <w:trPr>
          <w:trHeight w:val="215"/>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3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Production taxes payable</w:t>
            </w: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5"/>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46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shd w:val="clear" w:color="auto" w:fill="CCEEFF"/>
          </w:tcPr>
          <w:p>
            <w:pPr>
              <w:spacing w:after="0"/>
              <w:rPr>
                <w:sz w:val="22"/>
                <w:szCs w:val="22"/>
                <w:color w:val="auto"/>
              </w:rPr>
            </w:pPr>
          </w:p>
        </w:tc>
      </w:tr>
      <w:tr>
        <w:trPr>
          <w:trHeight w:val="411"/>
        </w:trPr>
        <w:tc>
          <w:tcPr>
            <w:tcW w:w="438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94</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43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9"/>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SUPPLEMENTAL DISCLOSURES OF CASH FLOW INFORMATION</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6"/>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capital expenditure accruals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issued for acquisition of properties</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 (acquired, revisions, sold, and plugged wells)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for underwriter fee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costs of financing</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9000" w:firstLine="7"/>
        <w:spacing w:after="0" w:line="530" w:lineRule="auto"/>
        <w:tabs>
          <w:tab w:leader="none" w:pos="269"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 Committed Equity Facility</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Subsequent to December 31, 2025 and through March 15, 2026, the Company has issued 8.5 million shares generating proceeds of $9.3 million after underwriter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Write-Down of Oil and Natural Gas Properties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full-cost method of accounting, the net book value of proved oil and natural gas properties, less related deferred income taxes, may not exceed a calculated “ceiling.” The ceiling limitation is the estimated after-tax future net cash flows from proved oil and natural gas reserves. Estimated future net cash flows are calculated using the unweighted arithmetic average of commodity prices in effect on the first day of each of the previous 12 months, adjusted for location and quality differentials, held flat for the life of the production (except where prices are defined by contractual arrangements), less estimated operating costs, production taxes and future development costs, all discounted at 10 percent per annum. Future cash outflows associated with settling accrued asset retirement obligations are excluded from the calculation.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record a write-down of our oil and natural gas properties in the first quarter of 2026 due to lower commodity prices used in the calculation of the ceiling test as higher first quarter 2025 commodity prices will be removed from the ceiling test calculation and replaced with what we expect to be lower first quarter 2026 commodity prices. Depending on actual commodity prices, estimated price differentials, lease operating costs, revisions to reserve estimates, and the amount and timing of capital expenditures, the write-down could be approximately $0.5 million to $1.5 million in the first quarter of 2026.</w:t>
      </w:r>
    </w:p>
    <w:p>
      <w:pPr>
        <w:spacing w:after="0" w:line="200" w:lineRule="exact"/>
        <w:rPr>
          <w:sz w:val="20"/>
          <w:szCs w:val="20"/>
          <w:color w:val="auto"/>
        </w:rPr>
      </w:pPr>
    </w:p>
    <w:p>
      <w:pPr>
        <w:spacing w:after="0" w:line="224" w:lineRule="exact"/>
        <w:rPr>
          <w:sz w:val="20"/>
          <w:szCs w:val="20"/>
          <w:color w:val="auto"/>
        </w:rPr>
      </w:pPr>
    </w:p>
    <w:p>
      <w:pPr>
        <w:ind w:right="4760" w:firstLine="7"/>
        <w:spacing w:after="0" w:line="500" w:lineRule="auto"/>
        <w:tabs>
          <w:tab w:leader="none" w:pos="26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OIL AND NATURAL GAS INFORMATION (UNAUDITED) Capitalized Costs Incurred</w:t>
      </w:r>
    </w:p>
    <w:p>
      <w:pPr>
        <w:spacing w:after="0" w:line="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capitalized costs incurred in crude oil and natural gas acquisitions, exploration and development activities for the years ended December 31, 2025 and 2024 are provided in the table below:</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property acquisition</w:t>
            </w:r>
          </w:p>
        </w:tc>
        <w:tc>
          <w:tcPr>
            <w:tcW w:w="34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Development </w:t>
            </w:r>
            <w:r>
              <w:rPr>
                <w:rFonts w:ascii="Times New Roman" w:cs="Times New Roman" w:eastAsia="Times New Roman" w:hAnsi="Times New Roman"/>
                <w:sz w:val="24"/>
                <w:szCs w:val="24"/>
                <w:color w:val="auto"/>
                <w:vertAlign w:val="superscript"/>
              </w:rPr>
              <w:t>(1)</w:t>
            </w:r>
          </w:p>
        </w:tc>
        <w:tc>
          <w:tcPr>
            <w:tcW w:w="2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w:t>
            </w:r>
          </w:p>
        </w:tc>
        <w:tc>
          <w:tcPr>
            <w:tcW w:w="24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4400" w:type="dxa"/>
            <w:vAlign w:val="bottom"/>
            <w:gridSpan w:val="2"/>
          </w:tcPr>
          <w:p>
            <w:pPr>
              <w:spacing w:after="0"/>
              <w:rPr>
                <w:sz w:val="18"/>
                <w:szCs w:val="18"/>
                <w:color w:val="auto"/>
              </w:rPr>
            </w:pPr>
          </w:p>
        </w:tc>
        <w:tc>
          <w:tcPr>
            <w:tcW w:w="2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660" w:hanging="330"/>
        <w:spacing w:after="0" w:line="195" w:lineRule="auto"/>
        <w:tabs>
          <w:tab w:leader="none" w:pos="66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amounts related to estimated asset retirement obligations of $0.0 million and $1.0 million for the years ended December 31, 2025 and 2024, respectively.</w:t>
      </w:r>
    </w:p>
    <w:p>
      <w:pPr>
        <w:sectPr>
          <w:pgSz w:w="11900" w:h="16838" w:orient="portrait"/>
          <w:cols w:equalWidth="0" w:num="1">
            <w:col w:w="11240"/>
          </w:cols>
          <w:pgMar w:left="320" w:top="107" w:right="33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Capitalized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capitalized costs associated with oil and natural gas producing activities as of December 31,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Oil and Natural Gas Properties:</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Evaluated properties in full cost pool (1)</w:t>
      </w:r>
    </w:p>
    <w:p>
      <w:pPr>
        <w:spacing w:after="0" w:line="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Less accumulated depletion (2)</w:t>
      </w:r>
    </w:p>
    <w:p>
      <w:pPr>
        <w:spacing w:after="0" w:line="2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Net capitalized costs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58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20478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47875" cy="8255"/>
                    </a:xfrm>
                    <a:prstGeom prst="rect">
                      <a:avLst/>
                    </a:prstGeom>
                    <a:noFill/>
                  </pic:spPr>
                </pic:pic>
              </a:graphicData>
            </a:graphic>
          </wp:anchor>
        </w:drawing>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13335</wp:posOffset>
            </wp:positionV>
            <wp:extent cx="6416040" cy="136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spacing w:after="0" w:line="198" w:lineRule="exact"/>
        <w:rPr>
          <w:sz w:val="20"/>
          <w:szCs w:val="20"/>
          <w:color w:val="auto"/>
        </w:rPr>
      </w:pPr>
    </w:p>
    <w:p>
      <w:pPr>
        <w:ind w:left="940"/>
        <w:spacing w:after="0"/>
        <w:tabs>
          <w:tab w:leader="none" w:pos="2620" w:val="left"/>
        </w:tabs>
        <w:rPr>
          <w:sz w:val="20"/>
          <w:szCs w:val="20"/>
          <w:color w:val="auto"/>
        </w:rPr>
      </w:pPr>
      <w:r>
        <w:rPr>
          <w:rFonts w:ascii="Times New Roman" w:cs="Times New Roman" w:eastAsia="Times New Roman" w:hAnsi="Times New Roman"/>
          <w:sz w:val="18"/>
          <w:szCs w:val="18"/>
          <w:color w:val="auto"/>
        </w:rPr>
        <w:t>132,459</w:t>
      </w:r>
      <w:r>
        <w:rPr>
          <w:sz w:val="20"/>
          <w:szCs w:val="20"/>
          <w:color w:val="auto"/>
        </w:rPr>
        <w:tab/>
      </w:r>
      <w:r>
        <w:rPr>
          <w:rFonts w:ascii="Times New Roman" w:cs="Times New Roman" w:eastAsia="Times New Roman" w:hAnsi="Times New Roman"/>
          <w:sz w:val="18"/>
          <w:szCs w:val="18"/>
          <w:color w:val="auto"/>
        </w:rPr>
        <w:t>142,029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16510</wp:posOffset>
            </wp:positionV>
            <wp:extent cx="6416040" cy="144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6040" cy="144780"/>
                    </a:xfrm>
                    <a:prstGeom prst="rect">
                      <a:avLst/>
                    </a:prstGeom>
                    <a:noFill/>
                  </pic:spPr>
                </pic:pic>
              </a:graphicData>
            </a:graphic>
          </wp:anchor>
        </w:drawing>
      </w:r>
    </w:p>
    <w:p>
      <w:pPr>
        <w:spacing w:after="0" w:line="7" w:lineRule="exact"/>
        <w:rPr>
          <w:sz w:val="20"/>
          <w:szCs w:val="20"/>
          <w:color w:val="auto"/>
        </w:rPr>
      </w:pPr>
    </w:p>
    <w:p>
      <w:pPr>
        <w:jc w:val="both"/>
        <w:ind w:left="900"/>
        <w:spacing w:after="0"/>
        <w:tabs>
          <w:tab w:leader="none" w:pos="2560" w:val="left"/>
        </w:tabs>
        <w:rPr>
          <w:sz w:val="20"/>
          <w:szCs w:val="20"/>
          <w:color w:val="auto"/>
        </w:rPr>
      </w:pPr>
      <w:r>
        <w:rPr>
          <w:rFonts w:ascii="Times New Roman" w:cs="Times New Roman" w:eastAsia="Times New Roman" w:hAnsi="Times New Roman"/>
          <w:sz w:val="18"/>
          <w:szCs w:val="18"/>
          <w:color w:val="auto"/>
        </w:rPr>
        <w:t>(117,237)</w:t>
      </w:r>
      <w:r>
        <w:rPr>
          <w:sz w:val="20"/>
          <w:szCs w:val="20"/>
          <w:color w:val="auto"/>
        </w:rPr>
        <w:tab/>
      </w:r>
      <w:r>
        <w:rPr>
          <w:rFonts w:ascii="Times New Roman" w:cs="Times New Roman" w:eastAsia="Times New Roman" w:hAnsi="Times New Roman"/>
          <w:sz w:val="18"/>
          <w:szCs w:val="18"/>
          <w:color w:val="auto"/>
        </w:rPr>
        <w:t>(112,958)</w:t>
      </w:r>
    </w:p>
    <w:p>
      <w:pPr>
        <w:spacing w:after="0" w:line="218" w:lineRule="exact"/>
        <w:rPr>
          <w:sz w:val="20"/>
          <w:szCs w:val="20"/>
          <w:color w:val="auto"/>
        </w:rPr>
      </w:pPr>
    </w:p>
    <w:p>
      <w:pPr>
        <w:spacing w:after="0"/>
        <w:tabs>
          <w:tab w:leader="none" w:pos="1020" w:val="left"/>
          <w:tab w:leader="none" w:pos="1700" w:val="left"/>
          <w:tab w:leader="none" w:pos="2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15,222</w:t>
        <w:tab/>
        <w:t>$</w:t>
      </w:r>
      <w:r>
        <w:rPr>
          <w:sz w:val="20"/>
          <w:szCs w:val="20"/>
          <w:color w:val="auto"/>
        </w:rPr>
        <w:tab/>
      </w:r>
      <w:r>
        <w:rPr>
          <w:rFonts w:ascii="Times New Roman" w:cs="Times New Roman" w:eastAsia="Times New Roman" w:hAnsi="Times New Roman"/>
          <w:sz w:val="18"/>
          <w:szCs w:val="18"/>
          <w:color w:val="auto"/>
        </w:rPr>
        <w:t>29,071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-119380</wp:posOffset>
            </wp:positionV>
            <wp:extent cx="6416040" cy="161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6040" cy="16192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6640" w:space="720"/>
            <w:col w:w="3880"/>
          </w:cols>
          <w:pgMar w:left="320" w:top="121" w:right="339" w:bottom="1440" w:gutter="0" w:footer="0" w:header="0"/>
          <w:type w:val="continuous"/>
        </w:sectPr>
      </w:pPr>
    </w:p>
    <w:p>
      <w:pPr>
        <w:spacing w:after="0" w:line="238" w:lineRule="exact"/>
        <w:rPr>
          <w:sz w:val="20"/>
          <w:szCs w:val="20"/>
          <w:color w:val="auto"/>
        </w:rPr>
      </w:pPr>
    </w:p>
    <w:p>
      <w:pPr>
        <w:ind w:left="660" w:hanging="330"/>
        <w:spacing w:after="0" w:line="195" w:lineRule="auto"/>
        <w:tabs>
          <w:tab w:leader="none" w:pos="66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Depletion expense was $2.3 million ($21.89 per barrels of oil equivalent (BOE) and $6.4 million ($19.64 per BOE) for the years ended December 31, 2025 and 2024,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from oil and natural gas producing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includes revenues and expenses associated with the Company’s oil and gas producing activities. It does not include any allocation of the Company’s interest costs or general corporate overhead and therefore, it is not necessarily indicative of the contribution to net earnings of the Company’s oil and gas operations. Income tax expense has been calculated by applying statutory income tax rates to oil and gas sales after deducting costs, including DD&amp;A, and giving effect to permanent differences. Presented below are the results of operations from oil and natural gas producing activities for the years ended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sales</w:t>
            </w:r>
          </w:p>
        </w:tc>
        <w:tc>
          <w:tcPr>
            <w:tcW w:w="28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Lease operating expense</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treating, and transportation costs</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Results of operations from oil and natural gas producing activities</w:t>
            </w:r>
          </w:p>
        </w:tc>
        <w:tc>
          <w:tcPr>
            <w:tcW w:w="28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6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96</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Reserves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Proved reserves are estimated quantities of oil, NGLs and natural gas that geological and engineering data demonstrate with reasonable certainty to be recoverable in future years from known reservoirs under existing economic and operating conditions. Oil and natural gas prices used are the average price during the 12-month period prior to the effective date of the report, determined as an unweighted arithmetic average of the first-day-of-the-month price for each month within such period, unless prices are defined by contractual arrangements. Proved developed reserves are reserves that can reasonably be expected to be recovered through existing wells with existing equipment and operating methods. The Company emphasizes that reserve estimates are inherently imprecise. Accordingly, these estimates are expected to change as future information becomes available.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Proved oil and natural gas reserve quantities at December 31, 2025 and 2024 and the related discounted future net cash flows before income taxes are based on the estimates prepared by On Point Resources. The estimates have been prepared in accordance with guidelines established by the Securities and Exchange Commission. All of the Company’s estimated proved reserves are located in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had no proved undeveloped reserves. All proved reserves were proved developed producing.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estimated quantities of proved oil and natural gas reserves and changes in net proved reserves are summarized below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600" w:type="dxa"/>
            <w:vAlign w:val="bottom"/>
            <w:gridSpan w:val="3"/>
          </w:tcPr>
          <w:p>
            <w:pPr>
              <w:jc w:val="center"/>
              <w:ind w:right="360"/>
              <w:spacing w:after="0" w:line="186" w:lineRule="exact"/>
              <w:rPr>
                <w:sz w:val="20"/>
                <w:szCs w:val="20"/>
                <w:color w:val="auto"/>
              </w:rPr>
            </w:pPr>
            <w:r>
              <w:rPr>
                <w:rFonts w:ascii="Times New Roman" w:cs="Times New Roman" w:eastAsia="Times New Roman" w:hAnsi="Times New Roman"/>
                <w:sz w:val="18"/>
                <w:szCs w:val="18"/>
                <w:b w:val="1"/>
                <w:bCs w:val="1"/>
                <w:color w:val="auto"/>
                <w:w w:val="99"/>
              </w:rPr>
              <w:t>Oil</w:t>
            </w:r>
          </w:p>
        </w:tc>
        <w:tc>
          <w:tcPr>
            <w:tcW w:w="1060" w:type="dxa"/>
            <w:vAlign w:val="bottom"/>
          </w:tcPr>
          <w:p>
            <w:pPr>
              <w:jc w:val="right"/>
              <w:ind w:right="371"/>
              <w:spacing w:after="0" w:line="186" w:lineRule="exact"/>
              <w:rPr>
                <w:sz w:val="20"/>
                <w:szCs w:val="20"/>
                <w:color w:val="auto"/>
              </w:rPr>
            </w:pPr>
            <w:r>
              <w:rPr>
                <w:rFonts w:ascii="Times New Roman" w:cs="Times New Roman" w:eastAsia="Times New Roman" w:hAnsi="Times New Roman"/>
                <w:sz w:val="18"/>
                <w:szCs w:val="18"/>
                <w:b w:val="1"/>
                <w:bCs w:val="1"/>
                <w:color w:val="auto"/>
              </w:rPr>
              <w:t>Gas</w:t>
            </w:r>
          </w:p>
        </w:tc>
        <w:tc>
          <w:tcPr>
            <w:tcW w:w="220" w:type="dxa"/>
            <w:vAlign w:val="bottom"/>
          </w:tcPr>
          <w:p>
            <w:pPr>
              <w:spacing w:after="0"/>
              <w:rPr>
                <w:sz w:val="16"/>
                <w:szCs w:val="16"/>
                <w:color w:val="auto"/>
              </w:rPr>
            </w:pPr>
          </w:p>
        </w:tc>
        <w:tc>
          <w:tcPr>
            <w:tcW w:w="1540" w:type="dxa"/>
            <w:vAlign w:val="bottom"/>
            <w:gridSpan w:val="3"/>
          </w:tcPr>
          <w:p>
            <w:pPr>
              <w:jc w:val="center"/>
              <w:ind w:right="3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Oil</w:t>
            </w:r>
          </w:p>
        </w:tc>
        <w:tc>
          <w:tcPr>
            <w:tcW w:w="1040" w:type="dxa"/>
            <w:vAlign w:val="bottom"/>
          </w:tcPr>
          <w:p>
            <w:pPr>
              <w:jc w:val="right"/>
              <w:ind w:right="351"/>
              <w:spacing w:after="0" w:line="186" w:lineRule="exact"/>
              <w:rPr>
                <w:sz w:val="20"/>
                <w:szCs w:val="20"/>
                <w:color w:val="auto"/>
              </w:rPr>
            </w:pPr>
            <w:r>
              <w:rPr>
                <w:rFonts w:ascii="Times New Roman" w:cs="Times New Roman" w:eastAsia="Times New Roman" w:hAnsi="Times New Roman"/>
                <w:sz w:val="18"/>
                <w:szCs w:val="18"/>
                <w:b w:val="1"/>
                <w:bCs w:val="1"/>
                <w:color w:val="auto"/>
              </w:rPr>
              <w:t>Gas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280" w:type="dxa"/>
            <w:vAlign w:val="bottom"/>
            <w:gridSpan w:val="2"/>
          </w:tcPr>
          <w:p>
            <w:pPr>
              <w:jc w:val="right"/>
              <w:ind w:right="480"/>
              <w:spacing w:after="0" w:line="237" w:lineRule="exact"/>
              <w:rPr>
                <w:sz w:val="20"/>
                <w:szCs w:val="20"/>
                <w:color w:val="auto"/>
              </w:rPr>
            </w:pPr>
            <w:r>
              <w:rPr>
                <w:rFonts w:ascii="Times New Roman" w:cs="Times New Roman" w:eastAsia="Times New Roman" w:hAnsi="Times New Roman"/>
                <w:sz w:val="17"/>
                <w:szCs w:val="17"/>
                <w:b w:val="1"/>
                <w:bCs w:val="1"/>
                <w:color w:val="auto"/>
              </w:rPr>
              <w:t xml:space="preserve">(mcfe) </w:t>
            </w:r>
            <w:r>
              <w:rPr>
                <w:rFonts w:ascii="Times New Roman" w:cs="Times New Roman" w:eastAsia="Times New Roman" w:hAnsi="Times New Roman"/>
                <w:sz w:val="27"/>
                <w:szCs w:val="27"/>
                <w:b w:val="1"/>
                <w:bCs w:val="1"/>
                <w:color w:val="auto"/>
                <w:vertAlign w:val="superscript"/>
              </w:rPr>
              <w:t>(1)</w:t>
            </w: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140" w:type="dxa"/>
            <w:vAlign w:val="bottom"/>
            <w:gridSpan w:val="2"/>
          </w:tcPr>
          <w:p>
            <w:pPr>
              <w:jc w:val="right"/>
              <w:ind w:right="340"/>
              <w:spacing w:after="0" w:line="237" w:lineRule="exact"/>
              <w:rPr>
                <w:sz w:val="20"/>
                <w:szCs w:val="20"/>
                <w:color w:val="auto"/>
              </w:rPr>
            </w:pPr>
            <w:r>
              <w:rPr>
                <w:rFonts w:ascii="Times New Roman" w:cs="Times New Roman" w:eastAsia="Times New Roman" w:hAnsi="Times New Roman"/>
                <w:sz w:val="17"/>
                <w:szCs w:val="17"/>
                <w:b w:val="1"/>
                <w:bCs w:val="1"/>
                <w:color w:val="auto"/>
              </w:rPr>
              <w:t xml:space="preserve">(mcfe) </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proved reserves: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 quantities, beginning of year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2,306,915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3,182,861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(120,898)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(515,318)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(2,546,079)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Discoveries and extensions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minerals in place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minerals in place</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(271,457)</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(27,997)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(819,071)</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(4,271,067)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Production</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(112,797)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(311,729)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(256,166)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(958,325)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Reserve quantities, end of year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1,087,155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2,187,999</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1,592,306</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700" w:firstLine="330"/>
        <w:spacing w:after="0" w:line="385" w:lineRule="auto"/>
        <w:tabs>
          <w:tab w:leader="none" w:pos="645"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Mcf equivalents (Mcfe) consist of natural gas reserves in mcf plus NGLs converted to mcf using a factor of 6 mcf for each barrel of NGL. Notable changes in proved reserves for the years ended December 31, 2025 and 2024 included the following:</w:t>
      </w:r>
    </w:p>
    <w:p>
      <w:pPr>
        <w:spacing w:after="0" w:line="1" w:lineRule="exact"/>
        <w:rPr>
          <w:rFonts w:ascii="Times New Roman" w:cs="Times New Roman" w:eastAsia="Times New Roman" w:hAnsi="Times New Roman"/>
          <w:sz w:val="30"/>
          <w:szCs w:val="30"/>
          <w:color w:val="auto"/>
          <w:vertAlign w:val="superscript"/>
        </w:rPr>
      </w:pPr>
    </w:p>
    <w:p>
      <w:pPr>
        <w:ind w:left="980" w:hanging="328"/>
        <w:spacing w:after="0" w:line="280"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oil revisions in 2025 and 2024 primarily represent revisions due to a decrease in SEC pricing, which resulted in shortening the economic lives of certain properties. Upward gas revisions in 2025 primarily represent revisions due to an increase in SEC pricing.</w:t>
      </w:r>
    </w:p>
    <w:p>
      <w:pPr>
        <w:spacing w:after="0" w:line="159" w:lineRule="exact"/>
        <w:rPr>
          <w:rFonts w:ascii="Times New Roman" w:cs="Times New Roman" w:eastAsia="Times New Roman" w:hAnsi="Times New Roman"/>
          <w:sz w:val="18"/>
          <w:szCs w:val="18"/>
          <w:color w:val="auto"/>
        </w:rPr>
      </w:pPr>
    </w:p>
    <w:p>
      <w:pPr>
        <w:ind w:left="980" w:hanging="328"/>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of minerals in place in 2025 and 2024 represent reserves associated with properties sold during each respective year. Please see </w:t>
      </w:r>
      <w:r>
        <w:rPr>
          <w:rFonts w:ascii="Times New Roman" w:cs="Times New Roman" w:eastAsia="Times New Roman" w:hAnsi="Times New Roman"/>
          <w:sz w:val="18"/>
          <w:szCs w:val="18"/>
          <w:i w:val="1"/>
          <w:iCs w:val="1"/>
          <w:color w:val="auto"/>
        </w:rPr>
        <w:t>Note 2-Acquisitions and divestitures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Standardized Measure (Unaudited)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computes a standardized measure of future net cash flows and changes therein relating to estimated proved reserves in accordance with authoritative accounting guidance. The assumptions used to compute the standardized measure are those prescribed by the FASB and the SEC. These assumptions do not necessarily reflect the Company’s expectations of actual revenues to be derived from those reserves, nor their present value amount. The limitations inherent in the reserve quantity estimation process, as discussed previously, are equally applicable to the standardized measure computations since these reserve quantity estimates are the basis for the valuation process.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Future cash inflows and production and development costs are determined by applying prices and costs, including transportation, quality, and basis differentials, to the year-end estimated future reserve quantities. The following prices as adjusted for transportation, quality, and basis differentials were used in the calculation of the standardized measure:</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per Bbl</w:t>
            </w:r>
          </w:p>
        </w:tc>
        <w:tc>
          <w:tcPr>
            <w:tcW w:w="38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Gas per Mmbtu</w:t>
            </w:r>
          </w:p>
        </w:tc>
        <w:tc>
          <w:tcPr>
            <w:tcW w:w="38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Future operating costs are determined based on estimates of expenditures to be incurred in developing and producing the proved reserves in place at the end of the period using year-end costs and assuming continuation of existing economic conditions. Estimated future income taxes are computed using the current statutory income tax rates, including consideration for estimated future statutory depletion. The resulting future net cash flows are reduced to present value amounts by applying a 10% annual discount factor.</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relating to the Company’s proved oil and natural gas reserves is as follows as of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32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Future cash outflows:</w:t>
            </w:r>
          </w:p>
        </w:tc>
        <w:tc>
          <w:tcPr>
            <w:tcW w:w="2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Production costs</w:t>
            </w:r>
          </w:p>
        </w:tc>
        <w:tc>
          <w:tcPr>
            <w:tcW w:w="2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(35,496)</w:t>
            </w:r>
          </w:p>
        </w:tc>
        <w:tc>
          <w:tcPr>
            <w:tcW w:w="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2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2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net cash flows</w:t>
            </w:r>
          </w:p>
        </w:tc>
        <w:tc>
          <w:tcPr>
            <w:tcW w:w="2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10% annual discount factor</w:t>
            </w:r>
          </w:p>
        </w:tc>
        <w:tc>
          <w:tcPr>
            <w:tcW w:w="2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32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40" w:type="dxa"/>
            <w:vAlign w:val="bottom"/>
          </w:tcPr>
          <w:p>
            <w:pPr>
              <w:spacing w:after="0"/>
              <w:rPr>
                <w:sz w:val="18"/>
                <w:szCs w:val="18"/>
                <w:color w:val="auto"/>
              </w:rPr>
            </w:pPr>
          </w:p>
        </w:tc>
        <w:tc>
          <w:tcPr>
            <w:tcW w:w="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4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Standardized Measure (Unaudited)</w:t>
      </w:r>
    </w:p>
    <w:p>
      <w:pPr>
        <w:spacing w:after="0" w:line="22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changes in the standardized measure of future net cash flows relating to proved oil and natural gas reserves for the years ended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beginning of year</w:t>
            </w:r>
          </w:p>
        </w:tc>
        <w:tc>
          <w:tcPr>
            <w:tcW w:w="33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of oil and natural gas, net of production costs</w:t>
            </w: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2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estimated future development costs</w:t>
            </w: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 of minerals in place</w:t>
            </w:r>
          </w:p>
        </w:tc>
        <w:tc>
          <w:tcPr>
            <w:tcW w:w="2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Revisions in previous quantity estimates</w:t>
            </w: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Previously estimated development costs incurred</w:t>
            </w:r>
          </w:p>
        </w:tc>
        <w:tc>
          <w:tcPr>
            <w:tcW w:w="2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changes in income taxes</w:t>
            </w: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discount</w:t>
            </w:r>
          </w:p>
        </w:tc>
        <w:tc>
          <w:tcPr>
            <w:tcW w:w="2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timing and other</w:t>
            </w: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Standardized measure, end of year</w:t>
            </w:r>
          </w:p>
        </w:tc>
        <w:tc>
          <w:tcPr>
            <w:tcW w:w="33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40" w:type="dxa"/>
            <w:vAlign w:val="bottom"/>
          </w:tcPr>
          <w:p>
            <w:pPr>
              <w:spacing w:after="0"/>
              <w:rPr>
                <w:sz w:val="18"/>
                <w:szCs w:val="18"/>
                <w:color w:val="auto"/>
              </w:rPr>
            </w:pPr>
          </w:p>
        </w:tc>
        <w:tc>
          <w:tcPr>
            <w:tcW w:w="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99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670"/>
        </w:trPr>
        <w:tc>
          <w:tcPr>
            <w:tcW w:w="12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78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 and Financial Statement Schedules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0"/>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(a)(1) and (a)(2) Financial Statements and Financial Statement Schedules: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0"/>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financial statements are included in Item 8 of this report under “Financial Statements and Supplementary Data”:</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1"/>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193"/>
        </w:trPr>
        <w:tc>
          <w:tcPr>
            <w:tcW w:w="9420" w:type="dxa"/>
            <w:vAlign w:val="bottom"/>
            <w:gridSpan w:val="8"/>
          </w:tcPr>
          <w:p>
            <w:pPr>
              <w:spacing w:after="0" w:line="193"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(Weaver and Tidwell, L.L.P., Houston, Texas, PCAOB ID 410)</w:t>
            </w:r>
          </w:p>
        </w:tc>
        <w:tc>
          <w:tcPr>
            <w:tcW w:w="660" w:type="dxa"/>
            <w:vAlign w:val="bottom"/>
            <w:gridSpan w:val="3"/>
          </w:tcPr>
          <w:p>
            <w:pPr>
              <w:ind w:left="320"/>
              <w:spacing w:after="0" w:line="193" w:lineRule="exact"/>
              <w:rPr>
                <w:sz w:val="20"/>
                <w:szCs w:val="20"/>
                <w:color w:val="auto"/>
              </w:rPr>
            </w:pPr>
            <w:r>
              <w:rPr>
                <w:rFonts w:ascii="Times New Roman" w:cs="Times New Roman" w:eastAsia="Times New Roman" w:hAnsi="Times New Roman"/>
                <w:sz w:val="18"/>
                <w:szCs w:val="18"/>
                <w:color w:val="0000EE"/>
              </w:rPr>
              <w:t>67</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46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412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gridSpan w:val="3"/>
          </w:tcPr>
          <w:p>
            <w:pPr>
              <w:ind w:left="320"/>
              <w:spacing w:after="0" w:line="195" w:lineRule="exact"/>
              <w:rPr>
                <w:sz w:val="20"/>
                <w:szCs w:val="20"/>
                <w:color w:val="auto"/>
              </w:rPr>
            </w:pPr>
            <w:r>
              <w:rPr>
                <w:rFonts w:ascii="Times New Roman" w:cs="Times New Roman" w:eastAsia="Times New Roman" w:hAnsi="Times New Roman"/>
                <w:sz w:val="18"/>
                <w:szCs w:val="18"/>
                <w:color w:val="0000EE"/>
              </w:rPr>
              <w:t>70</w:t>
            </w:r>
          </w:p>
        </w:tc>
      </w:tr>
      <w:tr>
        <w:trPr>
          <w:trHeight w:val="217"/>
        </w:trPr>
        <w:tc>
          <w:tcPr>
            <w:tcW w:w="46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78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6440" w:type="dxa"/>
            <w:vAlign w:val="bottom"/>
            <w:gridSpan w:val="4"/>
          </w:tcPr>
          <w:p>
            <w:pPr>
              <w:spacing w:after="0" w:line="193"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2025 and 2024</w:t>
            </w:r>
          </w:p>
        </w:tc>
        <w:tc>
          <w:tcPr>
            <w:tcW w:w="2980" w:type="dxa"/>
            <w:vAlign w:val="bottom"/>
            <w:gridSpan w:val="4"/>
          </w:tcPr>
          <w:p>
            <w:pPr>
              <w:spacing w:after="0"/>
              <w:rPr>
                <w:sz w:val="16"/>
                <w:szCs w:val="16"/>
                <w:color w:val="auto"/>
              </w:rPr>
            </w:pPr>
          </w:p>
        </w:tc>
        <w:tc>
          <w:tcPr>
            <w:tcW w:w="660" w:type="dxa"/>
            <w:vAlign w:val="bottom"/>
            <w:gridSpan w:val="3"/>
          </w:tcPr>
          <w:p>
            <w:pPr>
              <w:ind w:left="320"/>
              <w:spacing w:after="0" w:line="193" w:lineRule="exact"/>
              <w:rPr>
                <w:sz w:val="20"/>
                <w:szCs w:val="20"/>
                <w:color w:val="auto"/>
              </w:rPr>
            </w:pPr>
            <w:r>
              <w:rPr>
                <w:rFonts w:ascii="Times New Roman" w:cs="Times New Roman" w:eastAsia="Times New Roman" w:hAnsi="Times New Roman"/>
                <w:sz w:val="18"/>
                <w:szCs w:val="18"/>
                <w:color w:val="0000EE"/>
              </w:rPr>
              <w:t>71</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7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Changes in Shareholders' Equity for the Years Ended December 31, 2025 and 2024</w:t>
            </w:r>
          </w:p>
        </w:tc>
        <w:tc>
          <w:tcPr>
            <w:tcW w:w="1440" w:type="dxa"/>
            <w:vAlign w:val="bottom"/>
            <w:gridSpan w:val="2"/>
          </w:tcPr>
          <w:p>
            <w:pPr>
              <w:spacing w:after="0"/>
              <w:rPr>
                <w:sz w:val="16"/>
                <w:szCs w:val="16"/>
                <w:color w:val="auto"/>
              </w:rPr>
            </w:pPr>
          </w:p>
        </w:tc>
        <w:tc>
          <w:tcPr>
            <w:tcW w:w="660" w:type="dxa"/>
            <w:vAlign w:val="bottom"/>
            <w:gridSpan w:val="3"/>
          </w:tcPr>
          <w:p>
            <w:pPr>
              <w:ind w:left="320"/>
              <w:spacing w:after="0" w:line="195" w:lineRule="exact"/>
              <w:rPr>
                <w:sz w:val="20"/>
                <w:szCs w:val="20"/>
                <w:color w:val="auto"/>
              </w:rPr>
            </w:pPr>
            <w:r>
              <w:rPr>
                <w:rFonts w:ascii="Times New Roman" w:cs="Times New Roman" w:eastAsia="Times New Roman" w:hAnsi="Times New Roman"/>
                <w:sz w:val="18"/>
                <w:szCs w:val="18"/>
                <w:color w:val="0000EE"/>
              </w:rPr>
              <w:t>72</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7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1440" w:type="dxa"/>
            <w:vAlign w:val="bottom"/>
            <w:gridSpan w:val="2"/>
          </w:tcPr>
          <w:p>
            <w:pPr>
              <w:spacing w:after="0"/>
              <w:rPr>
                <w:sz w:val="16"/>
                <w:szCs w:val="16"/>
                <w:color w:val="auto"/>
              </w:rPr>
            </w:pPr>
          </w:p>
        </w:tc>
        <w:tc>
          <w:tcPr>
            <w:tcW w:w="660" w:type="dxa"/>
            <w:vAlign w:val="bottom"/>
            <w:gridSpan w:val="3"/>
          </w:tcPr>
          <w:p>
            <w:pPr>
              <w:ind w:left="320"/>
              <w:spacing w:after="0" w:line="195" w:lineRule="exact"/>
              <w:rPr>
                <w:sz w:val="20"/>
                <w:szCs w:val="20"/>
                <w:color w:val="auto"/>
              </w:rPr>
            </w:pPr>
            <w:r>
              <w:rPr>
                <w:rFonts w:ascii="Times New Roman" w:cs="Times New Roman" w:eastAsia="Times New Roman" w:hAnsi="Times New Roman"/>
                <w:sz w:val="18"/>
                <w:szCs w:val="18"/>
                <w:color w:val="0000EE"/>
              </w:rPr>
              <w:t>73</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64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940" w:type="dxa"/>
            <w:vAlign w:val="bottom"/>
            <w:gridSpan w:val="3"/>
          </w:tcPr>
          <w:p>
            <w:pPr>
              <w:spacing w:after="0"/>
              <w:rPr>
                <w:sz w:val="16"/>
                <w:szCs w:val="16"/>
                <w:color w:val="auto"/>
              </w:rPr>
            </w:pPr>
          </w:p>
        </w:tc>
        <w:tc>
          <w:tcPr>
            <w:tcW w:w="660" w:type="dxa"/>
            <w:vAlign w:val="bottom"/>
            <w:gridSpan w:val="3"/>
          </w:tcPr>
          <w:p>
            <w:pPr>
              <w:ind w:left="320"/>
              <w:spacing w:after="0" w:line="195" w:lineRule="exact"/>
              <w:rPr>
                <w:sz w:val="20"/>
                <w:szCs w:val="20"/>
                <w:color w:val="auto"/>
              </w:rPr>
            </w:pPr>
            <w:r>
              <w:rPr>
                <w:rFonts w:ascii="Times New Roman" w:cs="Times New Roman" w:eastAsia="Times New Roman" w:hAnsi="Times New Roman"/>
                <w:sz w:val="18"/>
                <w:szCs w:val="18"/>
                <w:color w:val="0000EE"/>
              </w:rPr>
              <w:t>74</w:t>
            </w:r>
          </w:p>
        </w:tc>
      </w:tr>
      <w:tr>
        <w:trPr>
          <w:trHeight w:val="20"/>
        </w:trPr>
        <w:tc>
          <w:tcPr>
            <w:tcW w:w="12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All schedules are omitted because the required information is not applicable or is not present in amounts sufficient to require submission of the schedule or because the information required is included in the Consolidated Financial Statement and Notes thereto.</w:t>
      </w:r>
    </w:p>
    <w:p>
      <w:pPr>
        <w:spacing w:after="0" w:line="160" w:lineRule="exact"/>
        <w:rPr>
          <w:sz w:val="20"/>
          <w:szCs w:val="20"/>
          <w:color w:val="auto"/>
        </w:rPr>
      </w:pPr>
    </w:p>
    <w:p>
      <w:pPr>
        <w:ind w:left="260" w:hanging="253"/>
        <w:spacing w:after="0"/>
        <w:tabs>
          <w:tab w:leader="none" w:pos="2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exhibits are filed or furnished with or incorporated by reference into this report on Form 10-K:</w:t>
      </w:r>
    </w:p>
    <w:p>
      <w:pPr>
        <w:spacing w:after="0" w:line="220" w:lineRule="exact"/>
        <w:rPr>
          <w:rFonts w:ascii="Times New Roman" w:cs="Times New Roman" w:eastAsia="Times New Roman" w:hAnsi="Times New Roman"/>
          <w:sz w:val="18"/>
          <w:szCs w:val="18"/>
          <w:i w:val="1"/>
          <w:iCs w:val="1"/>
          <w:color w:val="auto"/>
        </w:rPr>
      </w:pPr>
    </w:p>
    <w:p>
      <w:pPr>
        <w:ind w:left="69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07" w:right="339" w:bottom="1440" w:gutter="0" w:footer="0" w:header="0"/>
        </w:sectPr>
      </w:pPr>
    </w:p>
    <w:p>
      <w:pPr>
        <w:spacing w:after="0" w:line="30"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33"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71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w:t>
      </w:r>
    </w:p>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3.1</w:t>
      </w:r>
    </w:p>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3.2</w:t>
      </w:r>
    </w:p>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3.3</w:t>
      </w:r>
    </w:p>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3.4</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4.1</w:t>
      </w:r>
    </w:p>
    <w:p>
      <w:pPr>
        <w:spacing w:after="0" w:line="9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10.1†</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10.3†</w:t>
      </w:r>
    </w:p>
    <w:p>
      <w:pPr>
        <w:spacing w:after="0" w:line="3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10.4†</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7901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11" w:lineRule="exact"/>
        <w:rPr>
          <w:sz w:val="20"/>
          <w:szCs w:val="20"/>
          <w:color w:val="auto"/>
        </w:rPr>
      </w:pPr>
    </w:p>
    <w:p>
      <w:pPr>
        <w:ind w:right="240"/>
        <w:spacing w:after="0" w:line="252" w:lineRule="auto"/>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Underwriting Agreement, dated January 22, 2025, by and</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between U.S. Energy Corp. and Roth Capital Partners, LLC</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Certificate of Transfer, filed with the Secretary of State of</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Wyoming on August 3, 2022, and effective on August 3,</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2022</w:t>
        </w:r>
      </w:hyperlink>
    </w:p>
    <w:p>
      <w:pPr>
        <w:spacing w:after="0" w:line="2"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Certificate of Conversion, filed with the Secretary of State of</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Delaware and effective August 3, 2022</w:t>
        </w:r>
      </w:hyperlink>
    </w:p>
    <w:p>
      <w:pPr>
        <w:jc w:val="both"/>
        <w:ind w:right="240"/>
        <w:spacing w:after="0" w:line="249" w:lineRule="auto"/>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Certificate of Incorporation of U.S. Energy Corp, Delaware,</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filed with the Secretary of State of Delaware and effective,</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August 3,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Amended and Restated Bylaws of U.S. Energy Corp,</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Delaware, effective August 3, 2022</w:t>
        </w:r>
      </w:hyperlink>
    </w:p>
    <w:p>
      <w:pPr>
        <w:ind w:right="420"/>
        <w:spacing w:after="0" w:line="249" w:lineRule="auto"/>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Wyoming Certificate of Transfer, effective August 3, 2022</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Description of Securities of the Registrant</w:t>
        </w:r>
      </w:hyperlink>
    </w:p>
    <w:p>
      <w:pPr>
        <w:ind w:right="240"/>
        <w:spacing w:after="0" w:line="249" w:lineRule="auto"/>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U.S. Energy Corp. Amended and Restated 2012 Equity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Performance and Incentive Plan</w:t>
        </w:r>
      </w:hyperlink>
    </w:p>
    <w:p>
      <w:pPr>
        <w:ind w:right="240"/>
        <w:spacing w:after="0" w:line="249" w:lineRule="auto"/>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Form of Grant to the 2012 Equity and Performance Incentive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Plan</w:t>
        </w:r>
      </w:hyperlink>
    </w:p>
    <w:p>
      <w:pPr>
        <w:ind w:right="240"/>
        <w:spacing w:after="0" w:line="249" w:lineRule="auto"/>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Form of 2012 Equity and Performance Plan Option</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Agreement between U.S. Energy Corp. and its directors</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Form of 2012 Equity and Performance Plan Incentive Option</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Agreement between U.S. Energy Corp. and its executive</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officers</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U.S. Energy Corp. 2021 Equity Incentive Plan</w:t>
        </w:r>
      </w:hyperlink>
    </w:p>
    <w:p>
      <w:pPr>
        <w:spacing w:after="0" w:line="204"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-718820</wp:posOffset>
            </wp:positionH>
            <wp:positionV relativeFrom="paragraph">
              <wp:posOffset>85090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0"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86"/>
        </w:trPr>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220" w:type="dxa"/>
            <w:vAlign w:val="bottom"/>
          </w:tcPr>
          <w:p>
            <w:pPr>
              <w:spacing w:after="0"/>
              <w:rPr>
                <w:sz w:val="16"/>
                <w:szCs w:val="16"/>
                <w:color w:val="auto"/>
              </w:rPr>
            </w:pPr>
          </w:p>
        </w:tc>
        <w:tc>
          <w:tcPr>
            <w:tcW w:w="8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Filed</w:t>
            </w:r>
          </w:p>
        </w:tc>
      </w:tr>
      <w:tr>
        <w:trPr>
          <w:trHeight w:val="237"/>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 No.</w:t>
            </w:r>
          </w:p>
        </w:tc>
        <w:tc>
          <w:tcPr>
            <w:tcW w:w="220" w:type="dxa"/>
            <w:vAlign w:val="bottom"/>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1/23/2025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8/3/2022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8/4/2022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8/4/2022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8/4/2022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8/4/2022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4/13/2023</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6/10/2020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0"/>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10.5.1</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3/18/2013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0"/>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10.8(i)</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3/28/2018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10.8(j)</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3/28/2018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0"/>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000-06814</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6/29/2021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3">
            <w:col w:w="740" w:space="400"/>
            <w:col w:w="4620" w:space="0"/>
            <w:col w:w="5480"/>
          </w:cols>
          <w:pgMar w:left="320" w:top="107"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0139"/>
          </w:cols>
          <w:pgMar w:left="320" w:top="121" w:right="1440" w:bottom="1440" w:gutter="0" w:footer="0" w:header="0"/>
        </w:sectPr>
      </w:pPr>
    </w:p>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10.6†</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10.10</w:t>
      </w:r>
    </w:p>
    <w:p>
      <w:pPr>
        <w:spacing w:after="0" w:line="3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10.11</w:t>
      </w:r>
    </w:p>
    <w:p>
      <w:pPr>
        <w:spacing w:after="0" w:line="3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10.17†</w:t>
      </w:r>
    </w:p>
    <w:p>
      <w:pPr>
        <w:spacing w:after="0" w:line="200" w:lineRule="exact"/>
        <w:rPr>
          <w:sz w:val="20"/>
          <w:szCs w:val="20"/>
          <w:color w:val="auto"/>
        </w:rPr>
      </w:pPr>
    </w:p>
    <w:p>
      <w:pPr>
        <w:spacing w:after="0" w:line="3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10.19†</w:t>
      </w: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10.20†</w:t>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10.21†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240"/>
        <w:spacing w:after="0" w:line="260" w:lineRule="auto"/>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Form of Stock Option Agreement (2021 Equity Incentive</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Plan)</w:t>
        </w:r>
      </w:hyperlink>
    </w:p>
    <w:p>
      <w:pPr>
        <w:ind w:right="240"/>
        <w:spacing w:after="0" w:line="249" w:lineRule="auto"/>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Form of Restricted Stock Grant Agreement (2021 Equity</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Incentive Plan)</w:t>
        </w:r>
      </w:hyperlink>
    </w:p>
    <w:p>
      <w:pPr>
        <w:ind w:right="220"/>
        <w:spacing w:after="0" w:line="249" w:lineRule="auto"/>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Registration Rights Agreement dated January 5, 2022, by</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and between U.S. Energy Corp., Banner Oil &amp; Gas, LLC,</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Woodford Petroleum, LLC, Llano Energy LLC, Lubbock</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Energy Partners LLC and Synergy Offshore LLC</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Nominating and Voting Agreement dated January 5, 2022,</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by and between U.S. Energy Corp., Banner Oil &amp; Gas, LLC,</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Woodford Petroleum, LLC, Llano Energy LLC, Lubbock</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Energy Partners LLC and Synergy Offshore LLC</w:t>
        </w:r>
      </w:hyperlink>
    </w:p>
    <w:p>
      <w:pPr>
        <w:spacing w:after="0" w:line="2"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Credit Agreement dated as of January 5, 2022, among U.S.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Energy Corp., as borrower, Firstbank Southwest, as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Administrative Agent and the Lenders party thereto</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Note dated January 5, 2022 in connection with January 5,</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2022, Credit Agreement</w:t>
        </w:r>
      </w:hyperlink>
    </w:p>
    <w:p>
      <w:pPr>
        <w:spacing w:after="0"/>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Unconditional Guaranty dated January 5, 2022, by and</w:t>
        </w:r>
      </w:hyperlink>
    </w:p>
    <w:p>
      <w:pPr>
        <w:spacing w:after="0" w:line="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between Firstbank Southwest and Energy One LLC, New</w:t>
        </w:r>
      </w:hyperlink>
    </w:p>
    <w:p>
      <w:pPr>
        <w:spacing w:after="0" w:line="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Horizon Resources LLC and BOG – OSAGE, LLC</w:t>
        </w:r>
      </w:hyperlink>
    </w:p>
    <w:p>
      <w:pPr>
        <w:spacing w:after="0" w:line="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Security Agreement dated January 5, 2022, by and between</w:t>
        </w:r>
      </w:hyperlink>
    </w:p>
    <w:p>
      <w:pPr>
        <w:spacing w:after="0" w:line="8" w:lineRule="exact"/>
        <w:rPr>
          <w:sz w:val="20"/>
          <w:szCs w:val="20"/>
          <w:color w:val="auto"/>
        </w:rPr>
      </w:pPr>
    </w:p>
    <w:p>
      <w:pPr>
        <w:spacing w:after="0"/>
        <w:tabs>
          <w:tab w:leader="none" w:pos="440" w:val="left"/>
          <w:tab w:leader="none" w:pos="1100" w:val="left"/>
          <w:tab w:leader="none" w:pos="1680" w:val="left"/>
          <w:tab w:leader="none" w:pos="2340" w:val="left"/>
          <w:tab w:leader="none" w:pos="2780" w:val="left"/>
          <w:tab w:leader="none" w:pos="3300" w:val="left"/>
          <w:tab w:leader="none" w:pos="3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u w:val="single" w:color="auto"/>
          <w:color w:val="0000EE"/>
        </w:rPr>
        <w:t>U.S.</w:t>
        <w:tab/>
        <w:t>Energy</w:t>
        <w:tab/>
        <w:t>Corp.,</w:t>
        <w:tab/>
        <w:t>Energy</w:t>
        <w:tab/>
        <w:t>One</w:t>
        <w:tab/>
        <w:t>LLC,</w:t>
        <w:tab/>
        <w:t>New</w:t>
      </w:r>
      <w:r>
        <w:rPr>
          <w:sz w:val="20"/>
          <w:szCs w:val="20"/>
          <w:color w:val="auto"/>
        </w:rPr>
        <w:tab/>
      </w:r>
      <w:hyperlink r:id="rId134">
        <w:r>
          <w:rPr>
            <w:rFonts w:ascii="Times New Roman" w:cs="Times New Roman" w:eastAsia="Times New Roman" w:hAnsi="Times New Roman"/>
            <w:sz w:val="17"/>
            <w:szCs w:val="17"/>
            <w:u w:val="single" w:color="auto"/>
            <w:color w:val="0000EE"/>
          </w:rPr>
          <w:t>Horizon</w:t>
        </w:r>
      </w:hyperlink>
    </w:p>
    <w:p>
      <w:pPr>
        <w:spacing w:after="0" w:line="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Resources LLC and BOG – OSAGE, LLC and Firstbank</w:t>
        </w:r>
      </w:hyperlink>
    </w:p>
    <w:p>
      <w:pPr>
        <w:spacing w:after="0" w:line="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Southwest</w:t>
        </w:r>
      </w:hyperlink>
    </w:p>
    <w:p>
      <w:pPr>
        <w:spacing w:after="0" w:line="8" w:lineRule="exact"/>
        <w:rPr>
          <w:sz w:val="20"/>
          <w:szCs w:val="20"/>
          <w:color w:val="auto"/>
        </w:rPr>
      </w:pPr>
    </w:p>
    <w:p>
      <w:pPr>
        <w:jc w:val="both"/>
        <w:ind w:right="220"/>
        <w:spacing w:after="0" w:line="249" w:lineRule="auto"/>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Intercreditor Agreement dated January 5, 2022, by and</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between Nextera Energy Marketing, LLC, each Swap</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Counterparty thereto, U.S. Energy Corp. and Firstbank</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Southwest</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ISDA 2002 Master Agreement between Nextera Energy</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Marketing, LLC and U.S. Energy Corp., and related</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Schedule and form of Guaranty.</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Form of U.S. Energy Corp. Notice of Restricted Stock Grant</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and Restricted Stock Grant Agreement (2021 Equity</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Incentive Plan)(officer and employee awards – January</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2022)</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Form of U.S. Energy Corp. Notice of Restricted Stock Grant</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and Restricted Stock Grant Agreement (2021 Equity</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Incentive Plan)(non-executive director awards – January</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2022)</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240"/>
        <w:spacing w:after="0" w:line="249" w:lineRule="auto"/>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Borrowing Base Increase Letter Agreement dated July 26,</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2022, between U.S. Energy Corp. and Firstbank Southwest,</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as Administrative Agent</w:t>
        </w:r>
      </w:hyperlink>
    </w:p>
    <w:p>
      <w:pPr>
        <w:spacing w:after="0" w:line="1" w:lineRule="exact"/>
        <w:rPr>
          <w:rFonts w:ascii="Times New Roman" w:cs="Times New Roman" w:eastAsia="Times New Roman" w:hAnsi="Times New Roman"/>
          <w:sz w:val="18"/>
          <w:szCs w:val="18"/>
          <w:u w:val="single" w:color="auto"/>
          <w:color w:val="0000EE"/>
        </w:rPr>
      </w:pPr>
    </w:p>
    <w:p>
      <w:pPr>
        <w:ind w:right="240"/>
        <w:spacing w:after="0" w:line="250" w:lineRule="auto"/>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Amended and Restated Nominating and Voting Agreement</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dated September 1, 2022, by and between U.S. Energy</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Corp., Banner Oil &amp; Gas, LLC, Woodford Petroleum, LLC,</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Llano Energy LLC, Lubbock Energy Partners LLC, Synergy</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Offshore LLC, King Oil &amp; Gas Company, Inc., WDM</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Family Partnership, LP, and Katla Energy Holdings LLC</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Form of Officer and Director Indemnification Agreement</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U.S. Energy Corp. 2022 Equity Incentive Plan</w:t>
        </w:r>
      </w:hyperlink>
    </w:p>
    <w:p>
      <w:pPr>
        <w:spacing w:after="0" w:line="191" w:lineRule="exact"/>
        <w:rPr>
          <w:rFonts w:ascii="Times New Roman" w:cs="Times New Roman" w:eastAsia="Times New Roman" w:hAnsi="Times New Roman"/>
          <w:sz w:val="18"/>
          <w:szCs w:val="18"/>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-718820</wp:posOffset>
            </wp:positionH>
            <wp:positionV relativeFrom="paragraph">
              <wp:posOffset>85090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322"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333-261600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12/10/2021</w:t>
            </w:r>
          </w:p>
        </w:tc>
      </w:tr>
      <w:tr>
        <w:trPr>
          <w:trHeight w:val="430"/>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333-261600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12/10/2021</w:t>
            </w:r>
          </w:p>
        </w:tc>
      </w:tr>
      <w:tr>
        <w:trPr>
          <w:trHeight w:val="645"/>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860"/>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752"/>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537"/>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537"/>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752"/>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860"/>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752"/>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1/10/2022</w:t>
            </w:r>
          </w:p>
        </w:tc>
      </w:tr>
      <w:tr>
        <w:trPr>
          <w:trHeight w:val="752"/>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8-K/A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1/21/2022</w:t>
            </w:r>
          </w:p>
        </w:tc>
      </w:tr>
      <w:tr>
        <w:trPr>
          <w:trHeight w:val="860"/>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8-K/A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1/21/2022</w:t>
            </w:r>
          </w:p>
        </w:tc>
      </w:tr>
      <w:tr>
        <w:trPr>
          <w:trHeight w:val="752"/>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7/28/2022</w:t>
            </w:r>
          </w:p>
        </w:tc>
      </w:tr>
      <w:tr>
        <w:trPr>
          <w:trHeight w:val="967"/>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9/16/2022</w:t>
            </w:r>
          </w:p>
        </w:tc>
      </w:tr>
      <w:tr>
        <w:trPr>
          <w:trHeight w:val="734"/>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9/2/2022</w:t>
            </w:r>
          </w:p>
        </w:tc>
      </w:tr>
      <w:tr>
        <w:trPr>
          <w:trHeight w:val="234"/>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6/21/2022</w:t>
            </w:r>
          </w:p>
        </w:tc>
      </w:tr>
    </w:tbl>
    <w:p>
      <w:pPr>
        <w:sectPr>
          <w:pgSz w:w="11900" w:h="16838" w:orient="portrait"/>
          <w:cols w:equalWidth="0" w:num="3">
            <w:col w:w="700" w:space="440"/>
            <w:col w:w="4620" w:space="120"/>
            <w:col w:w="4259"/>
          </w:cols>
          <w:pgMar w:left="320" w:top="121" w:right="1440"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10.22†</w:t>
            </w:r>
          </w:p>
        </w:tc>
        <w:tc>
          <w:tcPr>
            <w:tcW w:w="438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Stock Option Agreement (2022 Equity Incentive</w:t>
              </w:r>
            </w:hyperlink>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380" w:type="dxa"/>
            <w:vAlign w:val="bottom"/>
            <w:gridSpan w:val="2"/>
            <w:vMerge w:val="restart"/>
          </w:tcPr>
          <w:p>
            <w:pPr>
              <w:spacing w:after="0" w:line="195" w:lineRule="exact"/>
              <w:rPr>
                <w:rFonts w:ascii="Times New Roman" w:cs="Times New Roman" w:eastAsia="Times New Roman" w:hAnsi="Times New Roman"/>
                <w:sz w:val="18"/>
                <w:szCs w:val="18"/>
                <w:color w:val="0000EE"/>
                <w:w w:val="94"/>
              </w:rPr>
            </w:pPr>
            <w:hyperlink r:id="rId144">
              <w:r>
                <w:rPr>
                  <w:rFonts w:ascii="Times New Roman" w:cs="Times New Roman" w:eastAsia="Times New Roman" w:hAnsi="Times New Roman"/>
                  <w:sz w:val="18"/>
                  <w:szCs w:val="18"/>
                  <w:color w:val="0000EE"/>
                  <w:w w:val="94"/>
                </w:rPr>
                <w:t>Plan)</w:t>
              </w:r>
            </w:hyperlink>
          </w:p>
        </w:tc>
        <w:tc>
          <w:tcPr>
            <w:tcW w:w="4000" w:type="dxa"/>
            <w:vAlign w:val="bottom"/>
            <w:gridSpan w:val="3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380" w:type="dxa"/>
            <w:vAlign w:val="bottom"/>
            <w:tcBorders>
              <w:bottom w:val="single" w:sz="8" w:color="0000EE"/>
            </w:tcBorders>
            <w:gridSpan w:val="2"/>
            <w:vMerge w:val="continue"/>
          </w:tcPr>
          <w:p>
            <w:pPr>
              <w:spacing w:after="0"/>
              <w:rPr>
                <w:sz w:val="5"/>
                <w:szCs w:val="5"/>
                <w:color w:val="auto"/>
              </w:rPr>
            </w:pPr>
          </w:p>
        </w:tc>
        <w:tc>
          <w:tcPr>
            <w:tcW w:w="400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10.23†</w:t>
            </w: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Restricted Stock Grant Agreement (2022 Equity</w:t>
              </w:r>
            </w:hyperlink>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4380" w:type="dxa"/>
            <w:vAlign w:val="bottom"/>
            <w:gridSpan w:val="38"/>
            <w:vMerge w:val="restart"/>
          </w:tcPr>
          <w:p>
            <w:pPr>
              <w:spacing w:after="0" w:line="195"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Incentive Plan)</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4380" w:type="dxa"/>
            <w:vAlign w:val="bottom"/>
            <w:gridSpan w:val="3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10.24†</w:t>
            </w: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May 5, 2022 Employment Agreement between U.S. Energy</w:t>
              </w:r>
            </w:hyperlink>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4380" w:type="dxa"/>
            <w:vAlign w:val="bottom"/>
            <w:gridSpan w:val="38"/>
            <w:vMerge w:val="restart"/>
          </w:tcPr>
          <w:p>
            <w:pPr>
              <w:spacing w:after="0" w:line="195"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Corp. and Ryan L. Smith</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4380" w:type="dxa"/>
            <w:vAlign w:val="bottom"/>
            <w:gridSpan w:val="3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Borrowing Base Increase Letter Agreement dated July 26,</w:t>
              </w:r>
            </w:hyperlink>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10.25</w:t>
            </w: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2022, between U.S. Energy Corp. and Firstbank Southwest,</w:t>
              </w:r>
            </w:hyperlink>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as Administrative Agent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10.26†</w:t>
            </w: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Offer Letter dated June 1, 2023, by and between U.S. Energy</w:t>
              </w:r>
            </w:hyperlink>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1580" w:type="dxa"/>
            <w:vAlign w:val="bottom"/>
            <w:gridSpan w:val="6"/>
            <w:vMerge w:val="restart"/>
          </w:tcPr>
          <w:p>
            <w:pPr>
              <w:spacing w:after="0" w:line="195"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Corp. and Mark Zajac</w:t>
              </w:r>
            </w:hyperlink>
          </w:p>
        </w:tc>
        <w:tc>
          <w:tcPr>
            <w:tcW w:w="2800" w:type="dxa"/>
            <w:vAlign w:val="bottom"/>
            <w:gridSpan w:val="3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1580" w:type="dxa"/>
            <w:vAlign w:val="bottom"/>
            <w:tcBorders>
              <w:bottom w:val="single" w:sz="8" w:color="0000EE"/>
            </w:tcBorders>
            <w:gridSpan w:val="6"/>
            <w:vMerge w:val="continue"/>
          </w:tcPr>
          <w:p>
            <w:pPr>
              <w:spacing w:after="0"/>
              <w:rPr>
                <w:sz w:val="5"/>
                <w:szCs w:val="5"/>
                <w:color w:val="auto"/>
              </w:rPr>
            </w:pPr>
          </w:p>
        </w:tc>
        <w:tc>
          <w:tcPr>
            <w:tcW w:w="280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10.27†</w:t>
            </w: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Separation and Release Agreement, dated July 31, 2023, by</w:t>
              </w:r>
            </w:hyperlink>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3900" w:type="dxa"/>
            <w:vAlign w:val="bottom"/>
            <w:gridSpan w:val="22"/>
            <w:vMerge w:val="restart"/>
          </w:tcPr>
          <w:p>
            <w:pPr>
              <w:spacing w:after="0" w:line="195"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and between U.S. Energy Corp. and Donald A. Kessel</w:t>
              </w:r>
            </w:hyperlink>
          </w:p>
        </w:tc>
        <w:tc>
          <w:tcPr>
            <w:tcW w:w="480" w:type="dxa"/>
            <w:vAlign w:val="bottom"/>
            <w:gridSpan w:val="1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3900" w:type="dxa"/>
            <w:vAlign w:val="bottom"/>
            <w:tcBorders>
              <w:bottom w:val="single" w:sz="8" w:color="0000EE"/>
            </w:tcBorders>
            <w:gridSpan w:val="22"/>
            <w:vMerge w:val="continue"/>
          </w:tcPr>
          <w:p>
            <w:pPr>
              <w:spacing w:after="0"/>
              <w:rPr>
                <w:sz w:val="5"/>
                <w:szCs w:val="5"/>
                <w:color w:val="auto"/>
              </w:rPr>
            </w:pPr>
          </w:p>
        </w:tc>
        <w:tc>
          <w:tcPr>
            <w:tcW w:w="48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U.S. Energy Corp. Form of Restricted Stock Grant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6"/>
              </w:rPr>
              <w:t>10.28†</w:t>
            </w:r>
          </w:p>
        </w:tc>
        <w:tc>
          <w:tcPr>
            <w:tcW w:w="4260" w:type="dxa"/>
            <w:vAlign w:val="bottom"/>
            <w:tcBorders>
              <w:bottom w:val="single" w:sz="8" w:color="0000EE"/>
            </w:tcBorders>
            <w:gridSpan w:val="32"/>
          </w:tcPr>
          <w:p>
            <w:pPr>
              <w:spacing w:after="0" w:line="195"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Agreement – Ryan L. Smith (170,000 shares grant – March</w:t>
              </w:r>
            </w:hyperlink>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19, 2024) (2022 Equity Incentive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Purchase and Sale Agreement by and between New Horizon</w:t>
              </w:r>
            </w:hyperlink>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10.29</w:t>
            </w:r>
          </w:p>
        </w:tc>
        <w:tc>
          <w:tcPr>
            <w:tcW w:w="4120" w:type="dxa"/>
            <w:vAlign w:val="bottom"/>
            <w:tcBorders>
              <w:top w:val="single" w:sz="8" w:color="0000EE"/>
              <w:bottom w:val="single" w:sz="8" w:color="0000EE"/>
            </w:tcBorders>
            <w:gridSpan w:val="27"/>
          </w:tcPr>
          <w:p>
            <w:pPr>
              <w:spacing w:after="0" w:line="195"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Resources LLC, as seller, and Warwick-Artemis, LLC, as</w:t>
              </w:r>
            </w:hyperlink>
          </w:p>
        </w:tc>
        <w:tc>
          <w:tcPr>
            <w:tcW w:w="200" w:type="dxa"/>
            <w:vAlign w:val="bottom"/>
            <w:tcBorders>
              <w:top w:val="single" w:sz="8" w:color="0000EE"/>
            </w:tcBorders>
            <w:gridSpan w:val="8"/>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80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buyer, dated July 9, 2024</w:t>
              </w:r>
            </w:hyperlink>
          </w:p>
        </w:tc>
        <w:tc>
          <w:tcPr>
            <w:tcW w:w="258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10.30†</w:t>
            </w:r>
          </w:p>
        </w:tc>
        <w:tc>
          <w:tcPr>
            <w:tcW w:w="4280" w:type="dxa"/>
            <w:vAlign w:val="bottom"/>
            <w:tcBorders>
              <w:bottom w:val="single" w:sz="8" w:color="0000EE"/>
            </w:tcBorders>
            <w:gridSpan w:val="33"/>
          </w:tcPr>
          <w:p>
            <w:pPr>
              <w:spacing w:after="0" w:line="195"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August 14, 2024, First Amended and Restated Employment</w:t>
              </w:r>
            </w:hyperlink>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4380" w:type="dxa"/>
            <w:vAlign w:val="bottom"/>
            <w:gridSpan w:val="38"/>
            <w:vMerge w:val="restart"/>
          </w:tcPr>
          <w:p>
            <w:pPr>
              <w:spacing w:after="0" w:line="195"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Agreement between U.S. Energy Corp and Ryan L. Smith</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4380" w:type="dxa"/>
            <w:vAlign w:val="bottom"/>
            <w:gridSpan w:val="3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rPr>
                <w:sz w:val="16"/>
                <w:szCs w:val="16"/>
                <w:color w:val="auto"/>
              </w:rPr>
            </w:pPr>
          </w:p>
        </w:tc>
        <w:tc>
          <w:tcPr>
            <w:tcW w:w="4300" w:type="dxa"/>
            <w:vAlign w:val="bottom"/>
            <w:tcBorders>
              <w:bottom w:val="single" w:sz="8" w:color="0000EE"/>
            </w:tcBorders>
            <w:gridSpan w:val="34"/>
          </w:tcPr>
          <w:p>
            <w:pPr>
              <w:spacing w:after="0" w:line="195"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Purchase and Sale Agreement dated December 12, 2024, by</w:t>
              </w:r>
            </w:hyperlink>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10.31</w:t>
            </w: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and between U.S. Energy Corp. and New Horizon Resources</w:t>
              </w:r>
            </w:hyperlink>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4380" w:type="dxa"/>
            <w:vAlign w:val="bottom"/>
            <w:gridSpan w:val="38"/>
            <w:vMerge w:val="restart"/>
          </w:tcPr>
          <w:p>
            <w:pPr>
              <w:spacing w:after="0" w:line="195"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LLC, as seller, and 84 Resources Holdings, LLC, as buyer,</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4380" w:type="dxa"/>
            <w:vAlign w:val="bottom"/>
            <w:gridSpan w:val="3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200" w:type="dxa"/>
            <w:vAlign w:val="bottom"/>
            <w:tcBorders>
              <w:top w:val="single" w:sz="8" w:color="0000EE"/>
            </w:tcBorders>
            <w:gridSpan w:val="30"/>
          </w:tcPr>
          <w:p>
            <w:pPr>
              <w:spacing w:after="0" w:line="195"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December 12, 2024</w:t>
              </w:r>
            </w:hyperlink>
          </w:p>
        </w:tc>
        <w:tc>
          <w:tcPr>
            <w:tcW w:w="18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rPr>
                <w:sz w:val="16"/>
                <w:szCs w:val="16"/>
                <w:color w:val="auto"/>
              </w:rPr>
            </w:pPr>
          </w:p>
        </w:tc>
        <w:tc>
          <w:tcPr>
            <w:tcW w:w="4340" w:type="dxa"/>
            <w:vAlign w:val="bottom"/>
            <w:tcBorders>
              <w:bottom w:val="single" w:sz="8" w:color="0000EE"/>
            </w:tcBorders>
            <w:gridSpan w:val="36"/>
          </w:tcPr>
          <w:p>
            <w:pPr>
              <w:spacing w:after="0" w:line="195"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Purchase and Sale Agreement dated January 7, 2025, by and</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10.32</w:t>
            </w: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between U.S. Energy Corp., as purchase and Synergy</w:t>
              </w:r>
            </w:hyperlink>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740" w:type="dxa"/>
            <w:vAlign w:val="bottom"/>
            <w:tcBorders>
              <w:top w:val="single" w:sz="8" w:color="0000EE"/>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Offshore LLC, as seller</w:t>
              </w:r>
            </w:hyperlink>
          </w:p>
        </w:tc>
        <w:tc>
          <w:tcPr>
            <w:tcW w:w="2080" w:type="dxa"/>
            <w:vAlign w:val="bottom"/>
            <w:tcBorders>
              <w:top w:val="single" w:sz="8" w:color="0000EE"/>
            </w:tcBorders>
            <w:gridSpan w:val="12"/>
          </w:tcPr>
          <w:p>
            <w:pPr>
              <w:spacing w:after="0"/>
              <w:rPr>
                <w:sz w:val="16"/>
                <w:szCs w:val="16"/>
                <w:color w:val="auto"/>
              </w:rPr>
            </w:pPr>
          </w:p>
        </w:tc>
        <w:tc>
          <w:tcPr>
            <w:tcW w:w="5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10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Share Repurchase Agreement dated January 27, 2025, by</w:t>
              </w:r>
            </w:hyperlink>
          </w:p>
        </w:tc>
        <w:tc>
          <w:tcPr>
            <w:tcW w:w="2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10.33</w:t>
            </w: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and between U.S. Energy Corp., and Banner Oil &amp; Gas,</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4380" w:type="dxa"/>
            <w:vAlign w:val="bottom"/>
            <w:gridSpan w:val="38"/>
            <w:vMerge w:val="restart"/>
          </w:tcPr>
          <w:p>
            <w:pPr>
              <w:spacing w:after="0" w:line="195"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LLC, Woodford Petroleum, LLC, and Sage Road Energy II,</w:t>
              </w:r>
            </w:hyperlink>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4380" w:type="dxa"/>
            <w:vAlign w:val="bottom"/>
            <w:gridSpan w:val="3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280" w:type="dxa"/>
            <w:vAlign w:val="bottom"/>
            <w:tcBorders>
              <w:top w:val="single" w:sz="8" w:color="0000EE"/>
            </w:tcBorders>
            <w:gridSpan w:val="33"/>
          </w:tcPr>
          <w:p>
            <w:pPr>
              <w:spacing w:after="0" w:line="195"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LP</w:t>
              </w:r>
            </w:hyperlink>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First Amendment to Credit Agreement and Limited Waiver</w:t>
              </w:r>
            </w:hyperlink>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10.34</w:t>
            </w:r>
          </w:p>
        </w:tc>
        <w:tc>
          <w:tcPr>
            <w:tcW w:w="4060" w:type="dxa"/>
            <w:vAlign w:val="bottom"/>
            <w:tcBorders>
              <w:top w:val="single" w:sz="8" w:color="0000EE"/>
              <w:bottom w:val="single" w:sz="8" w:color="0000EE"/>
            </w:tcBorders>
            <w:gridSpan w:val="25"/>
          </w:tcPr>
          <w:p>
            <w:pPr>
              <w:spacing w:after="0" w:line="195"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dated September 16, 2025, among U.S. Energy Corp., as</w:t>
              </w:r>
            </w:hyperlink>
          </w:p>
        </w:tc>
        <w:tc>
          <w:tcPr>
            <w:tcW w:w="180" w:type="dxa"/>
            <w:vAlign w:val="bottom"/>
            <w:tcBorders>
              <w:top w:val="single" w:sz="8" w:color="0000EE"/>
            </w:tcBorders>
            <w:gridSpan w:val="6"/>
          </w:tcPr>
          <w:p>
            <w:pPr>
              <w:spacing w:after="0"/>
              <w:rPr>
                <w:sz w:val="16"/>
                <w:szCs w:val="16"/>
                <w:color w:val="auto"/>
              </w:rPr>
            </w:pPr>
          </w:p>
        </w:tc>
        <w:tc>
          <w:tcPr>
            <w:tcW w:w="1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4360" w:type="dxa"/>
            <w:vAlign w:val="bottom"/>
            <w:gridSpan w:val="37"/>
            <w:vMerge w:val="restart"/>
          </w:tcPr>
          <w:p>
            <w:pPr>
              <w:spacing w:after="0" w:line="195"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borrower, Firstbank Southwest, as Administrative Agent and</w:t>
              </w:r>
            </w:hyperlink>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4360" w:type="dxa"/>
            <w:vAlign w:val="bottom"/>
            <w:tcBorders>
              <w:bottom w:val="single" w:sz="8" w:color="0000EE"/>
            </w:tcBorders>
            <w:gridSpan w:val="37"/>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the enders party thereto</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rPr>
                <w:sz w:val="16"/>
                <w:szCs w:val="16"/>
                <w:color w:val="auto"/>
              </w:rPr>
            </w:pPr>
          </w:p>
        </w:tc>
        <w:tc>
          <w:tcPr>
            <w:tcW w:w="4320" w:type="dxa"/>
            <w:vAlign w:val="bottom"/>
            <w:tcBorders>
              <w:bottom w:val="single" w:sz="8" w:color="0000EE"/>
            </w:tcBorders>
            <w:gridSpan w:val="35"/>
          </w:tcPr>
          <w:p>
            <w:pPr>
              <w:spacing w:after="0" w:line="195"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Common Stock Purchase Agreement, dated as of October 9,</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10.35</w:t>
            </w: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2025, by and between U.S. Energy Corp. and Roth Principal</w:t>
              </w:r>
            </w:hyperlink>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320" w:type="dxa"/>
            <w:vAlign w:val="bottom"/>
            <w:tcBorders>
              <w:top w:val="single" w:sz="8" w:color="0000EE"/>
            </w:tcBorders>
            <w:gridSpan w:val="35"/>
          </w:tcPr>
          <w:p>
            <w:pPr>
              <w:spacing w:after="0" w:line="195"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Investments, LLC</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spacing w:after="0"/>
              <w:rPr>
                <w:sz w:val="16"/>
                <w:szCs w:val="16"/>
                <w:color w:val="auto"/>
              </w:rPr>
            </w:pPr>
          </w:p>
        </w:tc>
        <w:tc>
          <w:tcPr>
            <w:tcW w:w="4340" w:type="dxa"/>
            <w:vAlign w:val="bottom"/>
            <w:tcBorders>
              <w:bottom w:val="single" w:sz="8" w:color="0000EE"/>
            </w:tcBorders>
            <w:gridSpan w:val="36"/>
          </w:tcPr>
          <w:p>
            <w:pPr>
              <w:spacing w:after="0" w:line="195"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Registration Rights Agreement, dated as of October 9, 2025,</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10.36</w:t>
            </w:r>
          </w:p>
        </w:tc>
        <w:tc>
          <w:tcPr>
            <w:tcW w:w="3880" w:type="dxa"/>
            <w:vAlign w:val="bottom"/>
            <w:tcBorders>
              <w:bottom w:val="single" w:sz="8" w:color="0000EE"/>
            </w:tcBorders>
            <w:gridSpan w:val="21"/>
          </w:tcPr>
          <w:p>
            <w:pPr>
              <w:spacing w:after="0" w:line="195"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by and between U.S. Energy Corp, and Roth Principal</w:t>
              </w:r>
            </w:hyperlink>
          </w:p>
        </w:tc>
        <w:tc>
          <w:tcPr>
            <w:tcW w:w="50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Investments, LLC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14.1†</w:t>
            </w:r>
          </w:p>
        </w:tc>
        <w:tc>
          <w:tcPr>
            <w:tcW w:w="202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Code of Ethics and Conduct</w:t>
              </w:r>
            </w:hyperlink>
          </w:p>
        </w:tc>
        <w:tc>
          <w:tcPr>
            <w:tcW w:w="2360" w:type="dxa"/>
            <w:vAlign w:val="bottom"/>
            <w:gridSpan w:val="2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rPr>
              <w:t>16.1</w:t>
            </w: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Letter from Plante &amp; Moran, PLLC, dated June 15, 2023</w:t>
              </w:r>
            </w:hyperlink>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19.1†</w:t>
            </w:r>
          </w:p>
        </w:tc>
        <w:tc>
          <w:tcPr>
            <w:tcW w:w="4060" w:type="dxa"/>
            <w:vAlign w:val="bottom"/>
            <w:tcBorders>
              <w:top w:val="single" w:sz="8" w:color="0000EE"/>
            </w:tcBorders>
            <w:gridSpan w:val="25"/>
          </w:tcPr>
          <w:p>
            <w:pPr>
              <w:spacing w:after="0" w:line="195" w:lineRule="exact"/>
              <w:rPr>
                <w:sz w:val="20"/>
                <w:szCs w:val="20"/>
                <w:color w:val="auto"/>
              </w:rPr>
            </w:pPr>
            <w:r>
              <w:rPr>
                <w:rFonts w:ascii="Times New Roman" w:cs="Times New Roman" w:eastAsia="Times New Roman" w:hAnsi="Times New Roman"/>
                <w:sz w:val="18"/>
                <w:szCs w:val="18"/>
                <w:color w:val="0000EE"/>
              </w:rPr>
              <w:t>U.S. Energy Policy on Insider Trading</w:t>
            </w:r>
          </w:p>
        </w:tc>
        <w:tc>
          <w:tcPr>
            <w:tcW w:w="3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21.1*</w:t>
            </w:r>
          </w:p>
        </w:tc>
        <w:tc>
          <w:tcPr>
            <w:tcW w:w="2120" w:type="dxa"/>
            <w:vAlign w:val="bottom"/>
            <w:tcBorders>
              <w:top w:val="single" w:sz="8" w:color="0000EE"/>
              <w:bottom w:val="single" w:sz="8" w:color="0000EE"/>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EE"/>
                <w:w w:val="98"/>
              </w:rPr>
              <w:t>Subsidiaries of the Registrant</w:t>
            </w:r>
          </w:p>
        </w:tc>
        <w:tc>
          <w:tcPr>
            <w:tcW w:w="680" w:type="dxa"/>
            <w:vAlign w:val="bottom"/>
            <w:tcBorders>
              <w:top w:val="single" w:sz="8" w:color="0000EE"/>
            </w:tcBorders>
          </w:tcPr>
          <w:p>
            <w:pPr>
              <w:spacing w:after="0"/>
              <w:rPr>
                <w:sz w:val="16"/>
                <w:szCs w:val="16"/>
                <w:color w:val="auto"/>
              </w:rPr>
            </w:pPr>
          </w:p>
        </w:tc>
        <w:tc>
          <w:tcPr>
            <w:tcW w:w="158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23.1*</w:t>
            </w:r>
          </w:p>
        </w:tc>
        <w:tc>
          <w:tcPr>
            <w:tcW w:w="4300" w:type="dxa"/>
            <w:vAlign w:val="bottom"/>
            <w:tcBorders>
              <w:bottom w:val="single" w:sz="8" w:color="0000EE"/>
            </w:tcBorders>
            <w:gridSpan w:val="34"/>
          </w:tcPr>
          <w:p>
            <w:pPr>
              <w:spacing w:after="0" w:line="195"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2080" w:type="dxa"/>
            <w:vAlign w:val="bottom"/>
            <w:gridSpan w:val="11"/>
            <w:vMerge w:val="restart"/>
          </w:tcPr>
          <w:p>
            <w:pPr>
              <w:spacing w:after="0" w:line="195" w:lineRule="exact"/>
              <w:rPr>
                <w:sz w:val="20"/>
                <w:szCs w:val="20"/>
                <w:color w:val="auto"/>
              </w:rPr>
            </w:pPr>
            <w:r>
              <w:rPr>
                <w:rFonts w:ascii="Times New Roman" w:cs="Times New Roman" w:eastAsia="Times New Roman" w:hAnsi="Times New Roman"/>
                <w:sz w:val="18"/>
                <w:szCs w:val="18"/>
                <w:color w:val="0000EE"/>
                <w:w w:val="96"/>
              </w:rPr>
              <w:t>(Weaver and Tidwell, L.L.P.)</w:t>
            </w:r>
          </w:p>
        </w:tc>
        <w:tc>
          <w:tcPr>
            <w:tcW w:w="2300" w:type="dxa"/>
            <w:vAlign w:val="bottom"/>
            <w:gridSpan w:val="2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2080" w:type="dxa"/>
            <w:vAlign w:val="bottom"/>
            <w:tcBorders>
              <w:bottom w:val="single" w:sz="8" w:color="0000EE"/>
            </w:tcBorders>
            <w:gridSpan w:val="11"/>
            <w:vMerge w:val="continue"/>
          </w:tcPr>
          <w:p>
            <w:pPr>
              <w:spacing w:after="0"/>
              <w:rPr>
                <w:sz w:val="5"/>
                <w:szCs w:val="5"/>
                <w:color w:val="auto"/>
              </w:rPr>
            </w:pPr>
          </w:p>
        </w:tc>
        <w:tc>
          <w:tcPr>
            <w:tcW w:w="230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w w:val="98"/>
              </w:rPr>
              <w:t>23.2*</w:t>
            </w:r>
          </w:p>
        </w:tc>
        <w:tc>
          <w:tcPr>
            <w:tcW w:w="4040" w:type="dxa"/>
            <w:vAlign w:val="bottom"/>
            <w:tcBorders>
              <w:bottom w:val="single" w:sz="8" w:color="0000EE"/>
            </w:tcBorders>
            <w:gridSpan w:val="24"/>
          </w:tcPr>
          <w:p>
            <w:pPr>
              <w:spacing w:after="0" w:line="195" w:lineRule="exact"/>
              <w:rPr>
                <w:sz w:val="20"/>
                <w:szCs w:val="20"/>
                <w:color w:val="auto"/>
              </w:rPr>
            </w:pPr>
            <w:r>
              <w:rPr>
                <w:rFonts w:ascii="Times New Roman" w:cs="Times New Roman" w:eastAsia="Times New Roman" w:hAnsi="Times New Roman"/>
                <w:sz w:val="18"/>
                <w:szCs w:val="18"/>
                <w:color w:val="0000EE"/>
                <w:w w:val="98"/>
              </w:rPr>
              <w:t>Consent of Reserve Engineer (On Point Resources, Inc.)</w:t>
            </w:r>
          </w:p>
        </w:tc>
        <w:tc>
          <w:tcPr>
            <w:tcW w:w="3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31.1*</w:t>
            </w:r>
          </w:p>
        </w:tc>
        <w:tc>
          <w:tcPr>
            <w:tcW w:w="4380" w:type="dxa"/>
            <w:vAlign w:val="bottom"/>
            <w:gridSpan w:val="3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w:t>
            </w: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2940" w:type="dxa"/>
            <w:vAlign w:val="bottom"/>
            <w:tcBorders>
              <w:top w:val="single" w:sz="8" w:color="0000EE"/>
            </w:tcBorders>
            <w:gridSpan w:val="16"/>
            <w:vMerge w:val="restart"/>
          </w:tcPr>
          <w:p>
            <w:pPr>
              <w:spacing w:after="0" w:line="195" w:lineRule="exact"/>
              <w:rPr>
                <w:sz w:val="20"/>
                <w:szCs w:val="20"/>
                <w:color w:val="auto"/>
              </w:rPr>
            </w:pPr>
            <w:r>
              <w:rPr>
                <w:rFonts w:ascii="Times New Roman" w:cs="Times New Roman" w:eastAsia="Times New Roman" w:hAnsi="Times New Roman"/>
                <w:sz w:val="18"/>
                <w:szCs w:val="18"/>
                <w:color w:val="0000EE"/>
                <w:w w:val="98"/>
              </w:rPr>
              <w:t>302 of the Sarbanes – Oxley Act of 2002</w:t>
            </w:r>
          </w:p>
        </w:tc>
        <w:tc>
          <w:tcPr>
            <w:tcW w:w="1340" w:type="dxa"/>
            <w:vAlign w:val="bottom"/>
            <w:tcBorders>
              <w:top w:val="single" w:sz="8" w:color="0000EE"/>
            </w:tcBorders>
            <w:gridSpan w:val="17"/>
            <w:vMerge w:val="restart"/>
          </w:tcPr>
          <w:p>
            <w:pPr>
              <w:spacing w:after="0"/>
              <w:rPr>
                <w:sz w:val="11"/>
                <w:szCs w:val="11"/>
                <w:color w:val="auto"/>
              </w:rPr>
            </w:pPr>
          </w:p>
        </w:tc>
        <w:tc>
          <w:tcPr>
            <w:tcW w:w="10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2940" w:type="dxa"/>
            <w:vAlign w:val="bottom"/>
            <w:tcBorders>
              <w:bottom w:val="single" w:sz="8" w:color="0000EE"/>
            </w:tcBorders>
            <w:gridSpan w:val="16"/>
            <w:vMerge w:val="continue"/>
          </w:tcPr>
          <w:p>
            <w:pPr>
              <w:spacing w:after="0"/>
              <w:rPr>
                <w:sz w:val="5"/>
                <w:szCs w:val="5"/>
                <w:color w:val="auto"/>
              </w:rPr>
            </w:pPr>
          </w:p>
        </w:tc>
        <w:tc>
          <w:tcPr>
            <w:tcW w:w="1340" w:type="dxa"/>
            <w:vAlign w:val="bottom"/>
            <w:gridSpan w:val="17"/>
            <w:vMerge w:val="continue"/>
          </w:tcPr>
          <w:p>
            <w:pPr>
              <w:spacing w:after="0"/>
              <w:rPr>
                <w:sz w:val="5"/>
                <w:szCs w:val="5"/>
                <w:color w:val="auto"/>
              </w:rPr>
            </w:pPr>
          </w:p>
        </w:tc>
        <w:tc>
          <w:tcPr>
            <w:tcW w:w="1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31.2*</w:t>
            </w:r>
          </w:p>
        </w:tc>
        <w:tc>
          <w:tcPr>
            <w:tcW w:w="4380" w:type="dxa"/>
            <w:vAlign w:val="bottom"/>
            <w:tcBorders>
              <w:bottom w:val="single" w:sz="8" w:color="0000EE"/>
            </w:tcBorders>
            <w:gridSpan w:val="3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w:t>
            </w: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2940" w:type="dxa"/>
            <w:vAlign w:val="bottom"/>
            <w:gridSpan w:val="16"/>
            <w:vMerge w:val="restart"/>
          </w:tcPr>
          <w:p>
            <w:pPr>
              <w:spacing w:after="0" w:line="195" w:lineRule="exact"/>
              <w:rPr>
                <w:sz w:val="20"/>
                <w:szCs w:val="20"/>
                <w:color w:val="auto"/>
              </w:rPr>
            </w:pPr>
            <w:r>
              <w:rPr>
                <w:rFonts w:ascii="Times New Roman" w:cs="Times New Roman" w:eastAsia="Times New Roman" w:hAnsi="Times New Roman"/>
                <w:sz w:val="18"/>
                <w:szCs w:val="18"/>
                <w:color w:val="0000EE"/>
                <w:w w:val="98"/>
              </w:rPr>
              <w:t>302 of the Sarbanes – Oxley Act of 2002</w:t>
            </w:r>
          </w:p>
        </w:tc>
        <w:tc>
          <w:tcPr>
            <w:tcW w:w="1440" w:type="dxa"/>
            <w:vAlign w:val="bottom"/>
            <w:gridSpan w:val="2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2940" w:type="dxa"/>
            <w:vAlign w:val="bottom"/>
            <w:tcBorders>
              <w:bottom w:val="single" w:sz="8" w:color="0000EE"/>
            </w:tcBorders>
            <w:gridSpan w:val="16"/>
            <w:vMerge w:val="continue"/>
          </w:tcPr>
          <w:p>
            <w:pPr>
              <w:spacing w:after="0"/>
              <w:rPr>
                <w:sz w:val="5"/>
                <w:szCs w:val="5"/>
                <w:color w:val="auto"/>
              </w:rPr>
            </w:pPr>
          </w:p>
        </w:tc>
        <w:tc>
          <w:tcPr>
            <w:tcW w:w="144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32.1**</w:t>
            </w:r>
          </w:p>
        </w:tc>
        <w:tc>
          <w:tcPr>
            <w:tcW w:w="4380" w:type="dxa"/>
            <w:vAlign w:val="bottom"/>
            <w:gridSpan w:val="3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w:t>
            </w: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2820" w:type="dxa"/>
            <w:vAlign w:val="bottom"/>
            <w:tcBorders>
              <w:top w:val="single" w:sz="8" w:color="0000EE"/>
            </w:tcBorders>
            <w:gridSpan w:val="14"/>
            <w:vMerge w:val="restart"/>
          </w:tcPr>
          <w:p>
            <w:pPr>
              <w:spacing w:after="0" w:line="195" w:lineRule="exact"/>
              <w:rPr>
                <w:sz w:val="20"/>
                <w:szCs w:val="20"/>
                <w:color w:val="auto"/>
              </w:rPr>
            </w:pPr>
            <w:r>
              <w:rPr>
                <w:rFonts w:ascii="Times New Roman" w:cs="Times New Roman" w:eastAsia="Times New Roman" w:hAnsi="Times New Roman"/>
                <w:sz w:val="18"/>
                <w:szCs w:val="18"/>
                <w:color w:val="0000EE"/>
                <w:w w:val="98"/>
              </w:rPr>
              <w:t>906 of the Sarbanes-Oxley Act of 2002</w:t>
            </w:r>
          </w:p>
        </w:tc>
        <w:tc>
          <w:tcPr>
            <w:tcW w:w="1460" w:type="dxa"/>
            <w:vAlign w:val="bottom"/>
            <w:tcBorders>
              <w:top w:val="single" w:sz="8" w:color="0000EE"/>
            </w:tcBorders>
            <w:gridSpan w:val="19"/>
            <w:vMerge w:val="restart"/>
          </w:tcPr>
          <w:p>
            <w:pPr>
              <w:spacing w:after="0"/>
              <w:rPr>
                <w:sz w:val="11"/>
                <w:szCs w:val="11"/>
                <w:color w:val="auto"/>
              </w:rPr>
            </w:pPr>
          </w:p>
        </w:tc>
        <w:tc>
          <w:tcPr>
            <w:tcW w:w="10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2820" w:type="dxa"/>
            <w:vAlign w:val="bottom"/>
            <w:tcBorders>
              <w:bottom w:val="single" w:sz="8" w:color="0000EE"/>
            </w:tcBorders>
            <w:gridSpan w:val="14"/>
            <w:vMerge w:val="continue"/>
          </w:tcPr>
          <w:p>
            <w:pPr>
              <w:spacing w:after="0"/>
              <w:rPr>
                <w:sz w:val="5"/>
                <w:szCs w:val="5"/>
                <w:color w:val="auto"/>
              </w:rPr>
            </w:pPr>
          </w:p>
        </w:tc>
        <w:tc>
          <w:tcPr>
            <w:tcW w:w="1460" w:type="dxa"/>
            <w:vAlign w:val="bottom"/>
            <w:gridSpan w:val="19"/>
            <w:vMerge w:val="continue"/>
          </w:tcPr>
          <w:p>
            <w:pPr>
              <w:spacing w:after="0"/>
              <w:rPr>
                <w:sz w:val="5"/>
                <w:szCs w:val="5"/>
                <w:color w:val="auto"/>
              </w:rPr>
            </w:pPr>
          </w:p>
        </w:tc>
        <w:tc>
          <w:tcPr>
            <w:tcW w:w="1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6"/>
              </w:rPr>
              <w:t>32.2**</w:t>
            </w:r>
          </w:p>
        </w:tc>
        <w:tc>
          <w:tcPr>
            <w:tcW w:w="4380" w:type="dxa"/>
            <w:vAlign w:val="bottom"/>
            <w:tcBorders>
              <w:bottom w:val="single" w:sz="8" w:color="0000EE"/>
            </w:tcBorders>
            <w:gridSpan w:val="3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w:t>
            </w:r>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2820" w:type="dxa"/>
            <w:vAlign w:val="bottom"/>
            <w:gridSpan w:val="14"/>
            <w:vMerge w:val="restart"/>
          </w:tcPr>
          <w:p>
            <w:pPr>
              <w:spacing w:after="0" w:line="195" w:lineRule="exact"/>
              <w:rPr>
                <w:sz w:val="20"/>
                <w:szCs w:val="20"/>
                <w:color w:val="auto"/>
              </w:rPr>
            </w:pPr>
            <w:r>
              <w:rPr>
                <w:rFonts w:ascii="Times New Roman" w:cs="Times New Roman" w:eastAsia="Times New Roman" w:hAnsi="Times New Roman"/>
                <w:sz w:val="18"/>
                <w:szCs w:val="18"/>
                <w:color w:val="0000EE"/>
                <w:w w:val="98"/>
              </w:rPr>
              <w:t>906 of the Sarbanes-Oxley Act of 2002</w:t>
            </w:r>
          </w:p>
        </w:tc>
        <w:tc>
          <w:tcPr>
            <w:tcW w:w="1560" w:type="dxa"/>
            <w:vAlign w:val="bottom"/>
            <w:gridSpan w:val="2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2820" w:type="dxa"/>
            <w:vAlign w:val="bottom"/>
            <w:tcBorders>
              <w:bottom w:val="single" w:sz="8" w:color="0000EE"/>
            </w:tcBorders>
            <w:gridSpan w:val="14"/>
            <w:vMerge w:val="continue"/>
          </w:tcPr>
          <w:p>
            <w:pPr>
              <w:spacing w:after="0"/>
              <w:rPr>
                <w:sz w:val="5"/>
                <w:szCs w:val="5"/>
                <w:color w:val="auto"/>
              </w:rPr>
            </w:pPr>
          </w:p>
        </w:tc>
        <w:tc>
          <w:tcPr>
            <w:tcW w:w="156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97.1</w:t>
            </w:r>
          </w:p>
        </w:tc>
        <w:tc>
          <w:tcPr>
            <w:tcW w:w="4380" w:type="dxa"/>
            <w:vAlign w:val="bottom"/>
            <w:gridSpan w:val="38"/>
          </w:tcPr>
          <w:p>
            <w:pPr>
              <w:spacing w:after="0" w:line="195"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U.S. Energy Corp. Policy for the Recovery of Erroneously</w:t>
              </w:r>
            </w:hyperlink>
          </w:p>
        </w:tc>
        <w:tc>
          <w:tcPr>
            <w:tcW w:w="0" w:type="dxa"/>
            <w:vAlign w:val="bottom"/>
          </w:tcPr>
          <w:p>
            <w:pPr>
              <w:spacing w:after="0"/>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4180" w:type="dxa"/>
            <w:vAlign w:val="bottom"/>
            <w:tcBorders>
              <w:top w:val="single" w:sz="8" w:color="0000EE"/>
            </w:tcBorders>
            <w:gridSpan w:val="29"/>
            <w:vMerge w:val="restart"/>
          </w:tcPr>
          <w:p>
            <w:pPr>
              <w:spacing w:after="0" w:line="195"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Awarded Incentive-Based Compensation</w:t>
              </w:r>
            </w:hyperlink>
          </w:p>
        </w:tc>
        <w:tc>
          <w:tcPr>
            <w:tcW w:w="200" w:type="dxa"/>
            <w:vAlign w:val="bottom"/>
            <w:gridSpan w:val="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4180" w:type="dxa"/>
            <w:vAlign w:val="bottom"/>
            <w:gridSpan w:val="29"/>
            <w:vMerge w:val="continue"/>
          </w:tcPr>
          <w:p>
            <w:pPr>
              <w:spacing w:after="0"/>
              <w:rPr>
                <w:sz w:val="5"/>
                <w:szCs w:val="5"/>
                <w:color w:val="auto"/>
              </w:rPr>
            </w:pPr>
          </w:p>
        </w:tc>
        <w:tc>
          <w:tcPr>
            <w:tcW w:w="2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20" w:type="dxa"/>
            <w:vAlign w:val="bottom"/>
            <w:gridSpan w:val="1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rPr>
              <w:t>99.1</w:t>
            </w:r>
          </w:p>
        </w:tc>
        <w:tc>
          <w:tcPr>
            <w:tcW w:w="3800" w:type="dxa"/>
            <w:vAlign w:val="bottom"/>
            <w:tcBorders>
              <w:bottom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w w:val="98"/>
              </w:rPr>
              <w:t>Reserve Report Summary (On Point Resources, Inc.)</w:t>
            </w:r>
          </w:p>
        </w:tc>
        <w:tc>
          <w:tcPr>
            <w:tcW w:w="58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Plan of Conversion of U.S. Energy Corp. (a Wyoming</w:t>
              </w:r>
            </w:hyperlink>
          </w:p>
        </w:tc>
        <w:tc>
          <w:tcPr>
            <w:tcW w:w="0" w:type="dxa"/>
            <w:vAlign w:val="bottom"/>
          </w:tcPr>
          <w:p>
            <w:pPr>
              <w:spacing w:after="0"/>
              <w:rPr>
                <w:sz w:val="1"/>
                <w:szCs w:val="1"/>
                <w:color w:val="auto"/>
              </w:rPr>
            </w:pPr>
          </w:p>
        </w:tc>
      </w:tr>
      <w:tr>
        <w:trPr>
          <w:trHeight w:val="195"/>
        </w:trPr>
        <w:tc>
          <w:tcPr>
            <w:tcW w:w="1060" w:type="dxa"/>
            <w:vAlign w:val="bottom"/>
          </w:tcPr>
          <w:p>
            <w:pPr>
              <w:jc w:val="center"/>
              <w:ind w:right="210"/>
              <w:spacing w:after="0" w:line="195" w:lineRule="exact"/>
              <w:rPr>
                <w:sz w:val="20"/>
                <w:szCs w:val="20"/>
                <w:color w:val="auto"/>
              </w:rPr>
            </w:pPr>
            <w:r>
              <w:rPr>
                <w:rFonts w:ascii="Times New Roman" w:cs="Times New Roman" w:eastAsia="Times New Roman" w:hAnsi="Times New Roman"/>
                <w:sz w:val="18"/>
                <w:szCs w:val="18"/>
                <w:color w:val="auto"/>
              </w:rPr>
              <w:t>99.2</w:t>
            </w:r>
          </w:p>
        </w:tc>
        <w:tc>
          <w:tcPr>
            <w:tcW w:w="4380" w:type="dxa"/>
            <w:vAlign w:val="bottom"/>
            <w:tcBorders>
              <w:bottom w:val="single" w:sz="8" w:color="0000EE"/>
            </w:tcBorders>
            <w:gridSpan w:val="38"/>
          </w:tcPr>
          <w:p>
            <w:pPr>
              <w:spacing w:after="0" w:line="19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corporation) to U.S. Energy Corp. (a Delaware corporation),</w:t>
              </w:r>
            </w:hyperlink>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352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dated July 27, 2022 and effective August 3, 2022</w:t>
              </w:r>
            </w:hyperlink>
          </w:p>
        </w:tc>
        <w:tc>
          <w:tcPr>
            <w:tcW w:w="86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0" w:type="dxa"/>
            <w:vAlign w:val="bottom"/>
          </w:tcPr>
          <w:p>
            <w:pPr>
              <w:spacing w:after="0"/>
              <w:rPr>
                <w:sz w:val="1"/>
                <w:szCs w:val="1"/>
                <w:color w:val="auto"/>
              </w:rPr>
            </w:pPr>
          </w:p>
        </w:tc>
      </w:tr>
      <w:tr>
        <w:trPr>
          <w:trHeight w:val="215"/>
        </w:trPr>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101.INS*</w:t>
            </w: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w w:val="99"/>
              </w:rPr>
              <w:t>XBRL tags are embedded within the Inline XBRL document</w:t>
            </w:r>
          </w:p>
        </w:tc>
        <w:tc>
          <w:tcPr>
            <w:tcW w:w="0" w:type="dxa"/>
            <w:vAlign w:val="bottom"/>
          </w:tcPr>
          <w:p>
            <w:pPr>
              <w:spacing w:after="0"/>
              <w:rPr>
                <w:sz w:val="1"/>
                <w:szCs w:val="1"/>
                <w:color w:val="auto"/>
              </w:rPr>
            </w:pPr>
          </w:p>
        </w:tc>
      </w:tr>
      <w:tr>
        <w:trPr>
          <w:trHeight w:val="215"/>
        </w:trPr>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101.SCH*</w:t>
            </w: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0" w:type="dxa"/>
            <w:vAlign w:val="bottom"/>
          </w:tcPr>
          <w:p>
            <w:pPr>
              <w:spacing w:after="0"/>
              <w:rPr>
                <w:sz w:val="1"/>
                <w:szCs w:val="1"/>
                <w:color w:val="auto"/>
              </w:rPr>
            </w:pPr>
          </w:p>
        </w:tc>
      </w:tr>
      <w:tr>
        <w:trPr>
          <w:trHeight w:val="215"/>
        </w:trPr>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101.CAL*</w:t>
            </w: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0" w:type="dxa"/>
            <w:vAlign w:val="bottom"/>
          </w:tcPr>
          <w:p>
            <w:pPr>
              <w:spacing w:after="0"/>
              <w:rPr>
                <w:sz w:val="1"/>
                <w:szCs w:val="1"/>
                <w:color w:val="auto"/>
              </w:rPr>
            </w:pPr>
          </w:p>
        </w:tc>
      </w:tr>
      <w:tr>
        <w:trPr>
          <w:trHeight w:val="215"/>
        </w:trPr>
        <w:tc>
          <w:tcPr>
            <w:tcW w:w="10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101.DEF*</w:t>
            </w: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0" w:type="dxa"/>
            <w:vAlign w:val="bottom"/>
          </w:tcPr>
          <w:p>
            <w:pPr>
              <w:spacing w:after="0"/>
              <w:rPr>
                <w:sz w:val="1"/>
                <w:szCs w:val="1"/>
                <w:color w:val="auto"/>
              </w:rPr>
            </w:pPr>
          </w:p>
        </w:tc>
      </w:tr>
      <w:tr>
        <w:trPr>
          <w:trHeight w:val="215"/>
        </w:trPr>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101.LAB*</w:t>
            </w: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0" w:type="dxa"/>
            <w:vAlign w:val="bottom"/>
          </w:tcPr>
          <w:p>
            <w:pPr>
              <w:spacing w:after="0"/>
              <w:rPr>
                <w:sz w:val="1"/>
                <w:szCs w:val="1"/>
                <w:color w:val="auto"/>
              </w:rPr>
            </w:pPr>
          </w:p>
        </w:tc>
      </w:tr>
      <w:tr>
        <w:trPr>
          <w:trHeight w:val="215"/>
        </w:trPr>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101.PRE*</w:t>
            </w: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for the cover page of this Annual Report on</w:t>
            </w:r>
          </w:p>
        </w:tc>
        <w:tc>
          <w:tcPr>
            <w:tcW w:w="0" w:type="dxa"/>
            <w:vAlign w:val="bottom"/>
          </w:tcPr>
          <w:p>
            <w:pPr>
              <w:spacing w:after="0"/>
              <w:rPr>
                <w:sz w:val="1"/>
                <w:szCs w:val="1"/>
                <w:color w:val="auto"/>
              </w:rPr>
            </w:pPr>
          </w:p>
        </w:tc>
      </w:tr>
      <w:tr>
        <w:trPr>
          <w:trHeight w:val="215"/>
        </w:trPr>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104*</w:t>
            </w: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Form 10-K, included in the Exhibit 101 Inline XBRL</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3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Document Set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S-8</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333-267267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9/2/2022</w:t>
            </w:r>
          </w:p>
        </w:tc>
      </w:tr>
      <w:tr>
        <w:trPr>
          <w:trHeight w:val="4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S-8</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333-267267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9/2/2022</w:t>
            </w:r>
          </w:p>
        </w:tc>
      </w:tr>
      <w:tr>
        <w:trPr>
          <w:trHeight w:val="43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5/5/2022</w:t>
            </w:r>
          </w:p>
        </w:tc>
      </w:tr>
      <w:tr>
        <w:trPr>
          <w:trHeight w:val="53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7/28/2022</w:t>
            </w:r>
          </w:p>
        </w:tc>
      </w:tr>
      <w:tr>
        <w:trPr>
          <w:trHeight w:val="53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6/5/2023</w:t>
            </w:r>
          </w:p>
        </w:tc>
      </w:tr>
      <w:tr>
        <w:trPr>
          <w:trHeight w:val="43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8/1/2023</w:t>
            </w:r>
          </w:p>
        </w:tc>
      </w:tr>
      <w:tr>
        <w:trPr>
          <w:trHeight w:val="53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3/21/2024</w:t>
            </w:r>
          </w:p>
        </w:tc>
      </w:tr>
      <w:tr>
        <w:trPr>
          <w:trHeight w:val="64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7/14/2024</w:t>
            </w:r>
          </w:p>
        </w:tc>
      </w:tr>
      <w:tr>
        <w:trPr>
          <w:trHeight w:val="53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8/15/2024</w:t>
            </w:r>
          </w:p>
        </w:tc>
      </w:tr>
      <w:tr>
        <w:trPr>
          <w:trHeight w:val="64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12/13/2024</w:t>
            </w:r>
          </w:p>
        </w:tc>
      </w:tr>
      <w:tr>
        <w:trPr>
          <w:trHeight w:val="75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1/10/2025</w:t>
            </w:r>
          </w:p>
        </w:tc>
      </w:tr>
      <w:tr>
        <w:trPr>
          <w:trHeight w:val="75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1/29/2025</w:t>
            </w:r>
          </w:p>
        </w:tc>
      </w:tr>
      <w:tr>
        <w:trPr>
          <w:trHeight w:val="86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09/19/2025</w:t>
            </w:r>
          </w:p>
        </w:tc>
      </w:tr>
      <w:tr>
        <w:trPr>
          <w:trHeight w:val="75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10/9/2025</w:t>
            </w:r>
          </w:p>
        </w:tc>
      </w:tr>
      <w:tr>
        <w:trPr>
          <w:trHeight w:val="64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10/9/2025</w:t>
            </w:r>
          </w:p>
        </w:tc>
      </w:tr>
      <w:tr>
        <w:trPr>
          <w:trHeight w:val="41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8/5/2019</w:t>
            </w:r>
          </w:p>
        </w:tc>
      </w:tr>
      <w:tr>
        <w:trPr>
          <w:trHeight w:val="21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6/16/2023</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000-06814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3/13/2025</w:t>
            </w:r>
          </w:p>
        </w:tc>
      </w:tr>
    </w:tbl>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3" w:lineRule="exact"/>
        <w:rPr>
          <w:sz w:val="20"/>
          <w:szCs w:val="20"/>
          <w:color w:val="auto"/>
        </w:rPr>
      </w:pPr>
    </w:p>
    <w:p>
      <w:pPr>
        <w:spacing w:after="0"/>
        <w:tabs>
          <w:tab w:leader="none" w:pos="1020" w:val="left"/>
          <w:tab w:leader="none" w:pos="2480" w:val="left"/>
          <w:tab w:leader="none" w:pos="33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000-06814</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11/13/2022</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3" w:lineRule="exact"/>
        <w:rPr>
          <w:sz w:val="20"/>
          <w:szCs w:val="20"/>
          <w:color w:val="auto"/>
        </w:rPr>
      </w:pPr>
    </w:p>
    <w:p>
      <w:pPr>
        <w:ind w:left="40"/>
        <w:spacing w:after="0"/>
        <w:tabs>
          <w:tab w:leader="none" w:pos="1020" w:val="left"/>
          <w:tab w:leader="none" w:pos="2480" w:val="left"/>
          <w:tab w:leader="none" w:pos="33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000-06814</w:t>
      </w:r>
      <w:r>
        <w:rPr>
          <w:sz w:val="20"/>
          <w:szCs w:val="20"/>
          <w:color w:val="auto"/>
        </w:rPr>
        <w:tab/>
      </w: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8/4/2022</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520" w:space="400"/>
            <w:col w:w="4940"/>
          </w:cols>
          <w:pgMar w:left="320" w:top="121" w:right="719" w:bottom="0" w:gutter="0" w:footer="0" w:header="0"/>
        </w:sectPr>
      </w:pPr>
    </w:p>
    <w:bookmarkStart w:id="111" w:name="page112"/>
    <w:bookmarkEnd w:id="111"/>
    <w:p>
      <w:pPr>
        <w:ind w:left="340" w:hanging="333"/>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50" w:lineRule="exact"/>
        <w:rPr>
          <w:sz w:val="20"/>
          <w:szCs w:val="20"/>
          <w:color w:val="auto"/>
        </w:rPr>
      </w:pPr>
    </w:p>
    <w:p>
      <w:pPr>
        <w:ind w:left="340" w:hanging="333"/>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constitutes a management contract or compensatory plan or agreement.</w:t>
      </w:r>
    </w:p>
    <w:p>
      <w:pPr>
        <w:spacing w:after="0" w:line="250" w:lineRule="exact"/>
        <w:rPr>
          <w:sz w:val="20"/>
          <w:szCs w:val="20"/>
          <w:color w:val="auto"/>
        </w:rPr>
      </w:pPr>
    </w:p>
    <w:p>
      <w:pPr>
        <w:jc w:val="both"/>
        <w:ind w:left="340" w:hanging="333"/>
        <w:spacing w:after="0" w:line="264"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and similar attachments have been omitted pursuant to Item 601(a)(5) of Regulation S-K. A copy of any omitted schedule or exhibit will be furnished supplementally to the Securities and Exchange Commission upon request; provided, however, that U.S. Energy Corp. may request confidential treatment pursuant to Rule 24b-2 of the Securities Exchange Act of 1934, as amended, for any schedule or exhibit so furnished.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U.S. ENERGY CORP.</w:t>
            </w:r>
          </w:p>
        </w:tc>
      </w:tr>
      <w:tr>
        <w:trPr>
          <w:trHeight w:val="4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6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Ryan L. Smith</w:t>
            </w:r>
          </w:p>
        </w:tc>
      </w:tr>
      <w:tr>
        <w:trPr>
          <w:trHeight w:val="188"/>
        </w:trPr>
        <w:tc>
          <w:tcPr>
            <w:tcW w:w="3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Ryan L. Smith, President, Chief Executive Officer, and Director</w:t>
            </w:r>
          </w:p>
        </w:tc>
      </w:tr>
      <w:tr>
        <w:trPr>
          <w:trHeight w:val="236"/>
        </w:trPr>
        <w:tc>
          <w:tcPr>
            <w:tcW w:w="3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Ryan L. Smith</w:t>
            </w:r>
          </w:p>
        </w:tc>
      </w:tr>
      <w:tr>
        <w:trPr>
          <w:trHeight w:val="188"/>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Ryan L. Smith, President, Chief Executive Officer, and Director</w:t>
            </w:r>
          </w:p>
        </w:tc>
      </w:tr>
      <w:tr>
        <w:trPr>
          <w:trHeight w:val="236"/>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Mark L. Zajac</w:t>
            </w:r>
          </w:p>
        </w:tc>
      </w:tr>
      <w:tr>
        <w:trPr>
          <w:trHeight w:val="188"/>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Mark L. Zajac, Chief Financial Officer</w:t>
            </w:r>
          </w:p>
        </w:tc>
      </w:tr>
      <w:tr>
        <w:trPr>
          <w:trHeight w:val="236"/>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4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John A. Weinzierl</w:t>
            </w:r>
          </w:p>
        </w:tc>
      </w:tr>
      <w:tr>
        <w:trPr>
          <w:trHeight w:val="227"/>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Weinzierl, Director</w:t>
            </w:r>
          </w:p>
        </w:tc>
      </w:tr>
      <w:tr>
        <w:trPr>
          <w:trHeight w:val="41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James W. Denny III</w:t>
            </w:r>
          </w:p>
        </w:tc>
      </w:tr>
      <w:tr>
        <w:trPr>
          <w:trHeight w:val="227"/>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W. Denny III, Director</w:t>
            </w:r>
          </w:p>
        </w:tc>
      </w:tr>
      <w:tr>
        <w:trPr>
          <w:trHeight w:val="41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Randall D. Keys</w:t>
            </w:r>
          </w:p>
        </w:tc>
      </w:tr>
      <w:tr>
        <w:trPr>
          <w:trHeight w:val="227"/>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Randall D. Keys, Director</w:t>
            </w:r>
          </w:p>
        </w:tc>
      </w:tr>
      <w:tr>
        <w:trPr>
          <w:trHeight w:val="41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Duane H. King</w:t>
            </w:r>
          </w:p>
        </w:tc>
      </w:tr>
      <w:tr>
        <w:trPr>
          <w:trHeight w:val="227"/>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Duane H. King, Director</w:t>
            </w:r>
          </w:p>
        </w:tc>
      </w:tr>
      <w:tr>
        <w:trPr>
          <w:trHeight w:val="41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 Stephen Slack</w:t>
            </w:r>
          </w:p>
        </w:tc>
      </w:tr>
      <w:tr>
        <w:trPr>
          <w:trHeight w:val="227"/>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 Stephen Slack, Director</w:t>
            </w:r>
          </w:p>
        </w:tc>
      </w:tr>
      <w:tr>
        <w:trPr>
          <w:trHeight w:val="412"/>
        </w:trPr>
        <w:tc>
          <w:tcPr>
            <w:tcW w:w="3540" w:type="dxa"/>
            <w:vAlign w:val="bottom"/>
          </w:tcPr>
          <w:p>
            <w:pPr>
              <w:spacing w:after="0"/>
              <w:rPr>
                <w:sz w:val="24"/>
                <w:szCs w:val="24"/>
                <w:color w:val="auto"/>
              </w:rPr>
            </w:pPr>
          </w:p>
        </w:tc>
        <w:tc>
          <w:tcPr>
            <w:tcW w:w="23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103</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155575</wp:posOffset>
            </wp:positionV>
            <wp:extent cx="1996440" cy="528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1996440"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INSIDER TRADING</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on August 6, 2024</w:t>
      </w:r>
    </w:p>
    <w:p>
      <w:pPr>
        <w:spacing w:after="0" w:line="223"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This Policy on Insider Trading has been adopted by U.S. Energy Corp., and supersedes prior policy statements on this subject. It applies to all employees, consultants, directors, and officers of the Company and subsidiaries.</w:t>
      </w:r>
    </w:p>
    <w:p>
      <w:pPr>
        <w:spacing w:after="0" w:line="155"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color w:val="auto"/>
        </w:rPr>
        <w:t>U.S. Energy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has adopted this Policy on Insider Trading (this “</w:t>
      </w:r>
      <w:r>
        <w:rPr>
          <w:rFonts w:ascii="Times New Roman" w:cs="Times New Roman" w:eastAsia="Times New Roman" w:hAnsi="Times New Roman"/>
          <w:sz w:val="18"/>
          <w:szCs w:val="18"/>
          <w:b w:val="1"/>
          <w:bCs w:val="1"/>
          <w:u w:val="single" w:color="auto"/>
          <w:color w:val="auto"/>
        </w:rPr>
        <w:t>Policy</w:t>
      </w:r>
      <w:r>
        <w:rPr>
          <w:rFonts w:ascii="Times New Roman" w:cs="Times New Roman" w:eastAsia="Times New Roman" w:hAnsi="Times New Roman"/>
          <w:sz w:val="18"/>
          <w:szCs w:val="18"/>
          <w:color w:val="auto"/>
        </w:rPr>
        <w:t xml:space="preserve">”) to apply to the persons described below. The Company reserves the right to amend or rescind this Policy or any portion of it at any time and to adopt different policies and procedures at any time. </w:t>
      </w:r>
      <w:r>
        <w:rPr>
          <w:rFonts w:ascii="Times New Roman" w:cs="Times New Roman" w:eastAsia="Times New Roman" w:hAnsi="Times New Roman"/>
          <w:sz w:val="18"/>
          <w:szCs w:val="18"/>
          <w:b w:val="1"/>
          <w:bCs w:val="1"/>
          <w:color w:val="auto"/>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 must be strictly followed. This Policy shall apply to the Company and each of its subsidiaries.</w:t>
      </w:r>
    </w:p>
    <w:p>
      <w:pPr>
        <w:spacing w:after="0" w:line="169" w:lineRule="exact"/>
        <w:rPr>
          <w:sz w:val="20"/>
          <w:szCs w:val="20"/>
          <w:color w:val="auto"/>
        </w:rPr>
      </w:pPr>
    </w:p>
    <w:p>
      <w:pPr>
        <w:ind w:left="660" w:hanging="653"/>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Rule.</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It is a violation of the federal securities laws for any person to buy or sell securities if he or she is in possession of material inside information. Information is material if it could affect a person’s decision whether to buy, sell or hold the securities. It is inside information if it has not been publicly disclosed. Furthermore, it is illegal for any person in possession of material inside information to provide other people with such information or to recommend that they buy or sell the securities. (This is called “</w:t>
      </w:r>
      <w:r>
        <w:rPr>
          <w:rFonts w:ascii="Times New Roman" w:cs="Times New Roman" w:eastAsia="Times New Roman" w:hAnsi="Times New Roman"/>
          <w:sz w:val="18"/>
          <w:szCs w:val="18"/>
          <w:b w:val="1"/>
          <w:bCs w:val="1"/>
          <w:u w:val="single" w:color="auto"/>
          <w:color w:val="auto"/>
        </w:rPr>
        <w:t>tipping.</w:t>
      </w:r>
      <w:r>
        <w:rPr>
          <w:rFonts w:ascii="Times New Roman" w:cs="Times New Roman" w:eastAsia="Times New Roman" w:hAnsi="Times New Roman"/>
          <w:sz w:val="18"/>
          <w:szCs w:val="18"/>
          <w:color w:val="auto"/>
        </w:rPr>
        <w:t xml:space="preserve">”) In that case, they may both be held liable. </w:t>
      </w:r>
      <w:r>
        <w:rPr>
          <w:rFonts w:ascii="Times New Roman" w:cs="Times New Roman" w:eastAsia="Times New Roman" w:hAnsi="Times New Roman"/>
          <w:sz w:val="18"/>
          <w:szCs w:val="18"/>
          <w:b w:val="1"/>
          <w:bCs w:val="1"/>
          <w:color w:val="auto"/>
        </w:rPr>
        <w:t>Please note that the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has imposed large penalties even when the disclosing person did not profit from the trading.</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 xml:space="preserve">The SEC, the stock exchanges, and plaintiffs’ lawyers focus on uncovering apparent insider trading. In this regard, please be aware that the SEC and the stock exchanges use sophisticated electronic surveillance techniques to uncover insider trading. In addition, the SEC and the stock exchanges maintain a very extensive database of officers, directors, and certain employees of public companies. It is quite possible that this database includes personal information about you, your relatives, and other acquaintances. </w:t>
      </w:r>
      <w:r>
        <w:rPr>
          <w:rFonts w:ascii="Times New Roman" w:cs="Times New Roman" w:eastAsia="Times New Roman" w:hAnsi="Times New Roman"/>
          <w:sz w:val="18"/>
          <w:szCs w:val="18"/>
          <w:b w:val="1"/>
          <w:bCs w:val="1"/>
          <w:color w:val="auto"/>
        </w:rPr>
        <w:t>As a result, if you or your acquaintances engage in insider trading, it is extremely likely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it will eventually be discovered and prosecuted.</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 breach of the insider trading laws could expose the insider to criminal fines up to three times the profits earned and imprisonment up to ten years, in addition to civil penalties (up to three times the profits earned) and injunctive actions. In addition, punitive damages may be imposed under applicable state laws. Securities laws also subject controlling persons to civil penalties for illegal insider trading by employees. Controlling persons include the Company, and are interpreted by the SEC to include directors, officers and supervisors. These persons may be subject to significant fines.</w:t>
      </w:r>
    </w:p>
    <w:p>
      <w:pPr>
        <w:spacing w:after="0" w:line="1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Inside information does not belong to the individual directors, officers, or other employees who may handle it or otherwise become knowledgeable about it. For any person to use such information for personal benefit or to disclose it to others outside the Company violates the Company’s interests. More particularly, in connection with trading in Company securities, it is a fraud against members of the investing public and against the Company.</w:t>
      </w:r>
    </w:p>
    <w:p>
      <w:pPr>
        <w:spacing w:after="0" w:line="173" w:lineRule="exact"/>
        <w:rPr>
          <w:sz w:val="20"/>
          <w:szCs w:val="20"/>
          <w:color w:val="auto"/>
        </w:rPr>
      </w:pPr>
    </w:p>
    <w:p>
      <w:pPr>
        <w:ind w:left="660" w:hanging="653"/>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the Policy Apply To?</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preferred stock, restricted stock, restricted stock units, options and warrants to purchase common stock and any other debt or equity securities the Company may issue from time to time, such as bonds, and convertible debentures, as well as to derivative securities relating to the Company’s securities, whether or not issued by the Company, such as exchange-traded options. This Policy applies to such securities regardless of whether they are held in a brokerage account, a 401(k) or similar account, through an employee stock purchase plan or otherwise.</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ind w:left="660" w:hanging="653"/>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Does the Policy Apply To?</w:t>
      </w:r>
    </w:p>
    <w:p>
      <w:pPr>
        <w:spacing w:after="0" w:line="223"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color w:val="auto"/>
        </w:rPr>
        <w:t>This policy applies to all employees, officers, consultants, and directors of the Company and its subsidiaries (collectively referred to as “</w:t>
      </w:r>
      <w:r>
        <w:rPr>
          <w:rFonts w:ascii="Times New Roman" w:cs="Times New Roman" w:eastAsia="Times New Roman" w:hAnsi="Times New Roman"/>
          <w:sz w:val="18"/>
          <w:szCs w:val="18"/>
          <w:b w:val="1"/>
          <w:bCs w:val="1"/>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Persons</w:t>
      </w:r>
      <w:r>
        <w:rPr>
          <w:rFonts w:ascii="Times New Roman" w:cs="Times New Roman" w:eastAsia="Times New Roman" w:hAnsi="Times New Roman"/>
          <w:sz w:val="18"/>
          <w:szCs w:val="18"/>
          <w:color w:val="auto"/>
        </w:rPr>
        <w:t>”) and members of their immediate families who reside with them or anyone else who lives in their household and family members who live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elsewhere but whose transactions in Company securities are directed by such Covered Persons or subject to their influence and control (collectively referred to as “</w:t>
      </w:r>
      <w:r>
        <w:rPr>
          <w:rFonts w:ascii="Times New Roman" w:cs="Times New Roman" w:eastAsia="Times New Roman" w:hAnsi="Times New Roman"/>
          <w:sz w:val="18"/>
          <w:szCs w:val="18"/>
          <w:b w:val="1"/>
          <w:bCs w:val="1"/>
          <w:u w:val="single" w:color="auto"/>
          <w:color w:val="auto"/>
        </w:rPr>
        <w:t>Family Members</w:t>
      </w:r>
      <w:r>
        <w:rPr>
          <w:rFonts w:ascii="Times New Roman" w:cs="Times New Roman" w:eastAsia="Times New Roman" w:hAnsi="Times New Roman"/>
          <w:sz w:val="18"/>
          <w:szCs w:val="18"/>
          <w:color w:val="auto"/>
        </w:rPr>
        <w:t>”) and any other individuals the Compliance Officer (defined below) may designate as Covered Persons because they have access to material nonpublic information concerning the Company.</w:t>
      </w:r>
    </w:p>
    <w:p>
      <w:pPr>
        <w:spacing w:after="0" w:line="177" w:lineRule="exact"/>
        <w:rPr>
          <w:sz w:val="20"/>
          <w:szCs w:val="20"/>
          <w:color w:val="auto"/>
        </w:rPr>
      </w:pPr>
    </w:p>
    <w:p>
      <w:pPr>
        <w:ind w:left="660" w:hanging="653"/>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of Section 16 Individuals and Key Employees.</w:t>
      </w:r>
    </w:p>
    <w:p>
      <w:pPr>
        <w:spacing w:after="0" w:line="223"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Section 16 Individual</w:t>
      </w:r>
      <w:r>
        <w:rPr>
          <w:rFonts w:ascii="Times New Roman" w:cs="Times New Roman" w:eastAsia="Times New Roman" w:hAnsi="Times New Roman"/>
          <w:sz w:val="18"/>
          <w:szCs w:val="18"/>
          <w:color w:val="auto"/>
        </w:rPr>
        <w:t>” – Each member of the Company’s Board of Directors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those officers of the Company designated by the Board as “</w:t>
      </w:r>
      <w:r>
        <w:rPr>
          <w:rFonts w:ascii="Times New Roman" w:cs="Times New Roman" w:eastAsia="Times New Roman" w:hAnsi="Times New Roman"/>
          <w:sz w:val="18"/>
          <w:szCs w:val="18"/>
          <w:b w:val="1"/>
          <w:bCs w:val="1"/>
          <w:u w:val="single" w:color="auto"/>
          <w:color w:val="auto"/>
        </w:rPr>
        <w:t>Section 16 officers</w:t>
      </w:r>
      <w:r>
        <w:rPr>
          <w:rFonts w:ascii="Times New Roman" w:cs="Times New Roman" w:eastAsia="Times New Roman" w:hAnsi="Times New Roman"/>
          <w:sz w:val="18"/>
          <w:szCs w:val="18"/>
          <w:color w:val="auto"/>
        </w:rPr>
        <w:t>” of the Company, and their respective Family Members.</w:t>
      </w:r>
    </w:p>
    <w:p>
      <w:pPr>
        <w:spacing w:after="0" w:line="155"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Key Employees</w:t>
      </w:r>
      <w:r>
        <w:rPr>
          <w:rFonts w:ascii="Times New Roman" w:cs="Times New Roman" w:eastAsia="Times New Roman" w:hAnsi="Times New Roman"/>
          <w:sz w:val="18"/>
          <w:szCs w:val="18"/>
          <w:color w:val="auto"/>
        </w:rPr>
        <w:t>” – The following individuals are Key Employees because of their position with the Company and their possible access to material nonpublic information:</w:t>
      </w:r>
    </w:p>
    <w:p>
      <w:pPr>
        <w:spacing w:after="0" w:line="155" w:lineRule="exact"/>
        <w:rPr>
          <w:sz w:val="20"/>
          <w:szCs w:val="20"/>
          <w:color w:val="auto"/>
        </w:rPr>
      </w:pPr>
    </w:p>
    <w:p>
      <w:pPr>
        <w:ind w:left="1300" w:hanging="325"/>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Active employees of the Company who are described in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hereto (as may be updated from time to time);</w:t>
      </w:r>
    </w:p>
    <w:p>
      <w:pPr>
        <w:spacing w:after="0" w:line="226"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assistants of Section 16 Individuals and Key Employees; and</w:t>
      </w:r>
    </w:p>
    <w:p>
      <w:pPr>
        <w:spacing w:after="0" w:line="222"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individual designated from time to time by the Compliance Officer, the Board or the Committee as a Key Employee.</w:t>
      </w:r>
    </w:p>
    <w:p>
      <w:pPr>
        <w:spacing w:after="0" w:line="218"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Companies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Stocks</w:t>
      </w:r>
    </w:p>
    <w:p>
      <w:pPr>
        <w:spacing w:after="0" w:line="2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same rules as set forth in this Policy apply to other companies’ stocks. Covered Persons, who learn material information about suppliers,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customers, potential acquisition candidates, or competitors through their work at the Company, should keep it confidential and not (a) trade in, or buy or sell securities in, such companies until the information becomes public, (b) “</w:t>
      </w:r>
      <w:r>
        <w:rPr>
          <w:rFonts w:ascii="Times New Roman" w:cs="Times New Roman" w:eastAsia="Times New Roman" w:hAnsi="Times New Roman"/>
          <w:sz w:val="18"/>
          <w:szCs w:val="18"/>
          <w:b w:val="1"/>
          <w:bCs w:val="1"/>
          <w:u w:val="single" w:color="auto"/>
          <w:color w:val="auto"/>
        </w:rPr>
        <w:t>tip</w:t>
      </w:r>
      <w:r>
        <w:rPr>
          <w:rFonts w:ascii="Times New Roman" w:cs="Times New Roman" w:eastAsia="Times New Roman" w:hAnsi="Times New Roman"/>
          <w:sz w:val="18"/>
          <w:szCs w:val="18"/>
          <w:color w:val="auto"/>
        </w:rPr>
        <w:t>” or disclose such material nonpublic information concerning that company to anyone, or (c) give trading advice of any kind to anyone concerning the other company. Covered Persons should not give tips about such stocks. Similar rules apply to Family Members of Covered Persons.</w:t>
      </w:r>
    </w:p>
    <w:p>
      <w:pPr>
        <w:spacing w:after="0" w:line="183" w:lineRule="exact"/>
        <w:rPr>
          <w:sz w:val="20"/>
          <w:szCs w:val="20"/>
          <w:color w:val="auto"/>
        </w:rPr>
      </w:pPr>
    </w:p>
    <w:p>
      <w:pPr>
        <w:ind w:left="660" w:hanging="653"/>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Margin Accounts and Pledges; Derivatives and Hedging; Trading in Options or Making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Sales</w:t>
      </w:r>
    </w:p>
    <w:p>
      <w:pPr>
        <w:spacing w:after="0" w:line="22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i w:val="1"/>
          <w:iCs w:val="1"/>
          <w:color w:val="auto"/>
        </w:rPr>
        <w:t>Margin Accounts and Pledges</w:t>
      </w:r>
      <w:r>
        <w:rPr>
          <w:rFonts w:ascii="Times New Roman" w:cs="Times New Roman" w:eastAsia="Times New Roman" w:hAnsi="Times New Roman"/>
          <w:sz w:val="18"/>
          <w:szCs w:val="18"/>
          <w:color w:val="auto"/>
        </w:rPr>
        <w:t>. Section 16 Officers and Key Employees may not purchase securities of the Company on margin. Securities held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account as collateral for a margin loan or pledged as collateral for a loan may be sold without your consent by the broker if you fail to meet a margin call or by the lender in foreclosure if you default on the loan. Because a margin call or foreclosure sale may occur at a time when you are aware of Material Nonpublic information or otherwise are not permitted to trade in Company securities, the Company prohibits holding Company securities in a margin account or pledging Company securities as collateral for a loan unless you have the clear financial capability to repay the loan without resort to the pledged securities.</w:t>
      </w:r>
    </w:p>
    <w:p>
      <w:pPr>
        <w:spacing w:after="0" w:line="18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Section 16 Officers and Key Employees can only pledge or hold stock in margin accounts that exceed any applicable stock ownership guidelines that apply to such person. Section 16 Officers and Key Employees who wish to pledge Company securities as collateral for a loan must obtain the prior approval of the Company’s outside securities counsel to that arrangement. Requests for approval should be submitted to the Compliance Officer in writing at least one week prior to the contemplated transaction.</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5" w:name="page116"/>
    <w:bookmarkEnd w:id="115"/>
    <w:p>
      <w:pPr>
        <w:jc w:val="both"/>
        <w:ind w:firstLine="645"/>
        <w:spacing w:after="0" w:line="254" w:lineRule="auto"/>
        <w:rPr>
          <w:sz w:val="20"/>
          <w:szCs w:val="20"/>
          <w:color w:val="auto"/>
        </w:rPr>
      </w:pPr>
      <w:r>
        <w:rPr>
          <w:rFonts w:ascii="Times New Roman" w:cs="Times New Roman" w:eastAsia="Times New Roman" w:hAnsi="Times New Roman"/>
          <w:sz w:val="18"/>
          <w:szCs w:val="18"/>
          <w:i w:val="1"/>
          <w:iCs w:val="1"/>
          <w:color w:val="auto"/>
        </w:rPr>
        <w:t>Derivatives Trading and Hedging</w:t>
      </w:r>
      <w:r>
        <w:rPr>
          <w:rFonts w:ascii="Times New Roman" w:cs="Times New Roman" w:eastAsia="Times New Roman" w:hAnsi="Times New Roman"/>
          <w:sz w:val="18"/>
          <w:szCs w:val="18"/>
          <w:color w:val="auto"/>
        </w:rPr>
        <w:t>. No executive officer or director may affect any transaction, directly or indirectly, in any derivative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put options and call options (discussed below), the underlying basis of which is any security of the Company, that would result in profit if the price of any Company security declines. This prohibition relates to derivative securities issued by the Company or any third party, such as publicly traded options. While executive officers and directors are not prohibited from engaging in other hedging transactions relating to the Company’s securities (except as described below), the Company strongly discourages such transactions. Hedging against losses in the Company’s securities may disturb the alignment between the interests of our officers and directors and those of our other shareholders. Moreover, hedging the downside risk in ownership of the Company’s securities may have the unintended consequence of encouraging excessive risk-taking.</w:t>
      </w:r>
    </w:p>
    <w:p>
      <w:pPr>
        <w:spacing w:after="0" w:line="184"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 Sales</w:t>
      </w:r>
      <w:r>
        <w:rPr>
          <w:rFonts w:ascii="Times New Roman" w:cs="Times New Roman" w:eastAsia="Times New Roman" w:hAnsi="Times New Roman"/>
          <w:sz w:val="18"/>
          <w:szCs w:val="18"/>
          <w:color w:val="auto"/>
        </w:rPr>
        <w:t>”. The insider trading prohibition also applies to trading in options, such as put and call options, and selling stock “</w:t>
      </w:r>
      <w:r>
        <w:rPr>
          <w:rFonts w:ascii="Times New Roman" w:cs="Times New Roman" w:eastAsia="Times New Roman" w:hAnsi="Times New Roman"/>
          <w:sz w:val="18"/>
          <w:szCs w:val="18"/>
          <w:b w:val="1"/>
          <w:bCs w:val="1"/>
          <w:u w:val="single" w:color="auto"/>
          <w:color w:val="auto"/>
        </w:rPr>
        <w:t>short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forms of trading are highly speculative and very risky. People who buy options are betting that the stock price will move rapidly. For that reason, when a person trades in options in his or her employer’s stock, it will arouse suspicion in the eyes of the SEC that the person was trading on the basis of inside information, particularly where the trading occurs before a Company announcement or major event. It is difficult for an employee to prove that he or she did not know about the announcement or event.</w:t>
      </w:r>
    </w:p>
    <w:p>
      <w:pPr>
        <w:spacing w:after="0" w:line="177"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color w:val="auto"/>
        </w:rPr>
        <w:t>If the SEC or the stock exchanges were to notice active options trading or “</w:t>
      </w:r>
      <w:r>
        <w:rPr>
          <w:rFonts w:ascii="Times New Roman" w:cs="Times New Roman" w:eastAsia="Times New Roman" w:hAnsi="Times New Roman"/>
          <w:sz w:val="18"/>
          <w:szCs w:val="18"/>
          <w:b w:val="1"/>
          <w:bCs w:val="1"/>
          <w:u w:val="single" w:color="auto"/>
          <w:color w:val="auto"/>
        </w:rPr>
        <w:t>short</w:t>
      </w:r>
      <w:r>
        <w:rPr>
          <w:rFonts w:ascii="Times New Roman" w:cs="Times New Roman" w:eastAsia="Times New Roman" w:hAnsi="Times New Roman"/>
          <w:sz w:val="18"/>
          <w:szCs w:val="18"/>
          <w:color w:val="auto"/>
        </w:rPr>
        <w:t>” sales by one or more directors or employees of the Company prior to an announcement, they would investigate. Such an investigation could be embarrassing to the Company (as well as expensive) and could result in severe penalties and expense for the persons involved.</w:t>
      </w:r>
    </w:p>
    <w:p>
      <w:pPr>
        <w:spacing w:after="0" w:line="17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For all of these reasons, the Company prohibits its directors, officers and employees from trading in options in the Company’s stock or selling the Company’s stock “</w:t>
      </w:r>
      <w:r>
        <w:rPr>
          <w:rFonts w:ascii="Times New Roman" w:cs="Times New Roman" w:eastAsia="Times New Roman" w:hAnsi="Times New Roman"/>
          <w:sz w:val="18"/>
          <w:szCs w:val="18"/>
          <w:b w:val="1"/>
          <w:bCs w:val="1"/>
          <w:u w:val="single" w:color="auto"/>
          <w:color w:val="auto"/>
        </w:rPr>
        <w:t>short.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prohibition does not apply to employee or director stock options granted by the Company or to shares 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upon exercise of employee or director stock options. Furthermore, this prohibition does not apply to the use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as consideration for the exercise of any such options or for the payment of any related withholding taxes.</w:t>
      </w:r>
    </w:p>
    <w:p>
      <w:pPr>
        <w:spacing w:after="0" w:line="177" w:lineRule="exact"/>
        <w:rPr>
          <w:sz w:val="20"/>
          <w:szCs w:val="20"/>
          <w:color w:val="auto"/>
        </w:rPr>
      </w:pPr>
    </w:p>
    <w:p>
      <w:pPr>
        <w:ind w:left="660" w:hanging="653"/>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information is material?</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 xml:space="preserve">It is not possible to define all categories of material information. However, information should be regarded as material if there is a substantial likelihood that it would be considered important to a reasonable investor in making a voting decision or an investment decision to buy, hold or sell securities. Any information that could be expected to affect the market price of the Company’s securities, whether such information is positive or negative, should be considered material. Because trading that receives scrutiny will be evaluated after the fact with the benefit of hindsight, questions as to the materiality of particular information should be resolved in favor of materiality, and trading should be avoided. Designated Insiders are subject to the Blackout Period provisions described in </w:t>
      </w:r>
      <w:r>
        <w:rPr>
          <w:rFonts w:ascii="Times New Roman" w:cs="Times New Roman" w:eastAsia="Times New Roman" w:hAnsi="Times New Roman"/>
          <w:sz w:val="18"/>
          <w:szCs w:val="18"/>
          <w:b w:val="1"/>
          <w:bCs w:val="1"/>
          <w:color w:val="auto"/>
        </w:rPr>
        <w:t>Section H</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62" w:lineRule="exact"/>
        <w:rPr>
          <w:sz w:val="20"/>
          <w:szCs w:val="20"/>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or tender offer;</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acquisition or disposition of significant assets;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regulatory agencies;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acquisition or disposition of a subsidiary;</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customer or supplier;</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energy generation or supply problems;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and stock repurchase programs;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6" w:name="page117"/>
    <w:bookmarkEnd w:id="116"/>
    <w:p>
      <w:pPr>
        <w:ind w:left="660" w:hanging="330"/>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supplies or inventory, including significant product defects, recalls or product returns; and</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w:t>
      </w:r>
    </w:p>
    <w:p>
      <w:pPr>
        <w:spacing w:after="0" w:line="246"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color w:val="auto"/>
        </w:rPr>
        <w:t>” is material information that has not been previously Publicly Disclosed (as defined below) and is otherwise not available to the general public.</w:t>
      </w:r>
    </w:p>
    <w:p>
      <w:pPr>
        <w:spacing w:after="0" w:line="155" w:lineRule="exact"/>
        <w:rPr>
          <w:sz w:val="20"/>
          <w:szCs w:val="20"/>
          <w:color w:val="auto"/>
        </w:rPr>
      </w:pPr>
    </w:p>
    <w:p>
      <w:pPr>
        <w:ind w:left="660" w:hanging="653"/>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Blackout Period Policy and other Guidelines</w:t>
      </w:r>
    </w:p>
    <w:p>
      <w:pPr>
        <w:spacing w:after="0" w:line="2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guidelines should be followed in order to ensure compliance with applicable anti-fraud laws and with the Company’s policies:</w:t>
      </w:r>
    </w:p>
    <w:p>
      <w:pPr>
        <w:spacing w:after="0" w:line="220" w:lineRule="exact"/>
        <w:rPr>
          <w:rFonts w:ascii="Times New Roman" w:cs="Times New Roman" w:eastAsia="Times New Roman" w:hAnsi="Times New Roman"/>
          <w:sz w:val="18"/>
          <w:szCs w:val="18"/>
          <w:b w:val="1"/>
          <w:bCs w:val="1"/>
          <w:color w:val="auto"/>
        </w:rPr>
      </w:pPr>
    </w:p>
    <w:p>
      <w:pPr>
        <w:ind w:left="960" w:hanging="308"/>
        <w:spacing w:after="0"/>
        <w:tabs>
          <w:tab w:leader="none" w:pos="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Restrictions.</w:t>
      </w:r>
    </w:p>
    <w:p>
      <w:pPr>
        <w:spacing w:after="0" w:line="224" w:lineRule="exact"/>
        <w:rPr>
          <w:rFonts w:ascii="Times New Roman" w:cs="Times New Roman" w:eastAsia="Times New Roman" w:hAnsi="Times New Roman"/>
          <w:sz w:val="18"/>
          <w:szCs w:val="18"/>
          <w:color w:val="auto"/>
        </w:rPr>
      </w:pPr>
    </w:p>
    <w:p>
      <w:pPr>
        <w:jc w:val="both"/>
        <w:ind w:left="660" w:firstLine="154"/>
        <w:spacing w:after="0" w:line="251" w:lineRule="auto"/>
        <w:tabs>
          <w:tab w:leader="none" w:pos="156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Person may buy, sell or trade in the Company’s securities during any period commencing with the date that he or she possesses Material Nonpublic Information concerning the Company and ending after the second full Trading Day following the date of Public Disclosure of that information, or at such time as such nonpublic information is no longer material. As used in this Policy, the term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shall mean a day on which national stock exchanges are open for trading. If, for example, the Company were to make an announcement on a Monday after market close, Covered Persons shall not trade in the Company’s securities until Thursday. Also, as used in this Policy, “</w:t>
      </w:r>
      <w:r>
        <w:rPr>
          <w:rFonts w:ascii="Times New Roman" w:cs="Times New Roman" w:eastAsia="Times New Roman" w:hAnsi="Times New Roman"/>
          <w:sz w:val="18"/>
          <w:szCs w:val="18"/>
          <w:b w:val="1"/>
          <w:bCs w:val="1"/>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means the public disclosure of such information (a) via the filing of a Current Report on Form 8-K, Quarterly Report on Form 10-Q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Report on Form 10-K, with the Securities and Exchange Commission; (b) via widely distributed press release; (c) via a posting on the Company’s website and/or via social media, provided that the Company has previously announced publicly that the Company will be making public disclosures on its website (and/or via social media, as applicable) and that investors should monitor such website/social media, and that the Board of Directors has affirmatively determined that information posted to the Company’s website and/or via social media is sufficiently “public,” considering whether: (1) the Company’s website/social media is a recognized channel of distribution, (2) posting of information on the Company’s website/social media disseminates the information in a manner making it available to the securities marketplace in general, and (3) that there has been a reasonable waiting period for investors and the market to react to the posted information; or (d) with the prior approval of the Board of Directors, another method of disclosure meeting the public disclosure requirements of Regulation FD.</w:t>
      </w:r>
    </w:p>
    <w:p>
      <w:pPr>
        <w:spacing w:after="0" w:line="192" w:lineRule="exact"/>
        <w:rPr>
          <w:rFonts w:ascii="Times New Roman" w:cs="Times New Roman" w:eastAsia="Times New Roman" w:hAnsi="Times New Roman"/>
          <w:sz w:val="18"/>
          <w:szCs w:val="18"/>
          <w:color w:val="auto"/>
        </w:rPr>
      </w:pPr>
    </w:p>
    <w:p>
      <w:pPr>
        <w:ind w:firstLine="652"/>
        <w:spacing w:after="0" w:line="282" w:lineRule="auto"/>
        <w:tabs>
          <w:tab w:leader="none" w:pos="99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prohibitions on Section 16 Individuals and Key Employees</w:t>
      </w:r>
      <w:r>
        <w:rPr>
          <w:rFonts w:ascii="Times New Roman" w:cs="Times New Roman" w:eastAsia="Times New Roman" w:hAnsi="Times New Roman"/>
          <w:sz w:val="18"/>
          <w:szCs w:val="18"/>
          <w:color w:val="auto"/>
        </w:rPr>
        <w:t>. Section 16 Individuals and Key Employees of the Company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Family Members shall not buy, sell or trade in the Company’s securities except during:</w:t>
      </w:r>
    </w:p>
    <w:p>
      <w:pPr>
        <w:spacing w:after="0" w:line="161" w:lineRule="exact"/>
        <w:rPr>
          <w:sz w:val="20"/>
          <w:szCs w:val="20"/>
          <w:color w:val="auto"/>
        </w:rPr>
      </w:pPr>
    </w:p>
    <w:p>
      <w:pPr>
        <w:jc w:val="both"/>
        <w:ind w:left="660" w:firstLine="645"/>
        <w:spacing w:after="0" w:line="264" w:lineRule="auto"/>
        <w:rPr>
          <w:sz w:val="20"/>
          <w:szCs w:val="20"/>
          <w:color w:val="auto"/>
        </w:rPr>
      </w:pPr>
      <w:r>
        <w:rPr>
          <w:rFonts w:ascii="Times New Roman" w:cs="Times New Roman" w:eastAsia="Times New Roman" w:hAnsi="Times New Roman"/>
          <w:sz w:val="18"/>
          <w:szCs w:val="18"/>
          <w:color w:val="auto"/>
        </w:rPr>
        <w:t>Each Trading Day which falls between the period beginning (a) after the second full business day after the Public Disclosure of a quarterly earnings release and ending (b) 30 calendar days after the end of the start of the next reporting period/quarter, except for 45 calendar days after the end of the year (the “</w:t>
      </w:r>
      <w:r>
        <w:rPr>
          <w:rFonts w:ascii="Times New Roman" w:cs="Times New Roman" w:eastAsia="Times New Roman" w:hAnsi="Times New Roman"/>
          <w:sz w:val="18"/>
          <w:szCs w:val="18"/>
          <w:b w:val="1"/>
          <w:bCs w:val="1"/>
          <w:u w:val="single" w:color="auto"/>
          <w:color w:val="auto"/>
        </w:rPr>
        <w:t>window</w:t>
      </w:r>
      <w:r>
        <w:rPr>
          <w:rFonts w:ascii="Times New Roman" w:cs="Times New Roman" w:eastAsia="Times New Roman" w:hAnsi="Times New Roman"/>
          <w:sz w:val="18"/>
          <w:szCs w:val="18"/>
          <w:color w:val="auto"/>
        </w:rPr>
        <w:t>”), subject in each case, to the restrictions below.</w:t>
      </w:r>
    </w:p>
    <w:p>
      <w:pPr>
        <w:spacing w:after="0" w:line="177" w:lineRule="exact"/>
        <w:rPr>
          <w:sz w:val="20"/>
          <w:szCs w:val="20"/>
          <w:color w:val="auto"/>
        </w:rPr>
      </w:pPr>
    </w:p>
    <w:p>
      <w:pPr>
        <w:jc w:val="both"/>
        <w:ind w:left="660" w:firstLine="645"/>
        <w:spacing w:after="0" w:line="206" w:lineRule="auto"/>
        <w:rPr>
          <w:sz w:val="20"/>
          <w:szCs w:val="20"/>
          <w:color w:val="auto"/>
        </w:rPr>
      </w:pPr>
      <w:r>
        <w:rPr>
          <w:rFonts w:ascii="Times New Roman" w:cs="Times New Roman" w:eastAsia="Times New Roman" w:hAnsi="Times New Roman"/>
          <w:sz w:val="18"/>
          <w:szCs w:val="18"/>
          <w:color w:val="auto"/>
        </w:rPr>
        <w:t>The opening date of each window will vary depending on the date the applicable quarterly earnings release is made by the Company, but such windows will always end on April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start of the reporting period ending June 30th); July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start of the reporting period ending September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October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start of the reporting period ending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and February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start of the reporting period ending March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waiting period permits the information to be fully disseminated and absorbed by the trading markets.</w:t>
      </w:r>
    </w:p>
    <w:p>
      <w:pPr>
        <w:spacing w:after="0" w:line="223" w:lineRule="exact"/>
        <w:rPr>
          <w:sz w:val="20"/>
          <w:szCs w:val="20"/>
          <w:color w:val="auto"/>
        </w:rPr>
      </w:pPr>
    </w:p>
    <w:p>
      <w:pPr>
        <w:jc w:val="both"/>
        <w:ind w:left="660" w:firstLine="645"/>
        <w:spacing w:after="0" w:line="280" w:lineRule="auto"/>
        <w:rPr>
          <w:sz w:val="20"/>
          <w:szCs w:val="20"/>
          <w:color w:val="auto"/>
        </w:rPr>
      </w:pPr>
      <w:r>
        <w:rPr>
          <w:rFonts w:ascii="Times New Roman" w:cs="Times New Roman" w:eastAsia="Times New Roman" w:hAnsi="Times New Roman"/>
          <w:sz w:val="18"/>
          <w:szCs w:val="18"/>
          <w:color w:val="auto"/>
        </w:rPr>
        <w:t>Notwithstanding the above, the Compliance Officer may provide for special trading blackout periods applicable to Covered Persons from time to time, as discussed below.</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4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7" w:name="page118"/>
    <w:bookmarkEnd w:id="117"/>
    <w:p>
      <w:pPr>
        <w:ind w:left="660" w:firstLine="645"/>
        <w:spacing w:after="0" w:line="280" w:lineRule="auto"/>
        <w:rPr>
          <w:sz w:val="20"/>
          <w:szCs w:val="20"/>
          <w:color w:val="auto"/>
        </w:rPr>
      </w:pPr>
      <w:r>
        <w:rPr>
          <w:rFonts w:ascii="Times New Roman" w:cs="Times New Roman" w:eastAsia="Times New Roman" w:hAnsi="Times New Roman"/>
          <w:sz w:val="18"/>
          <w:szCs w:val="18"/>
          <w:color w:val="auto"/>
        </w:rPr>
        <w:t xml:space="preserve">Additionally, no Section 16 Individual may trade in Company securities unless the trade(s) has been approved by the Compliance Officer in accordance with the procedures set forth in </w:t>
      </w:r>
      <w:r>
        <w:rPr>
          <w:rFonts w:ascii="Times New Roman" w:cs="Times New Roman" w:eastAsia="Times New Roman" w:hAnsi="Times New Roman"/>
          <w:sz w:val="18"/>
          <w:szCs w:val="18"/>
          <w:b w:val="1"/>
          <w:bCs w:val="1"/>
          <w:color w:val="auto"/>
        </w:rPr>
        <w:t>Section H(12)</w:t>
      </w:r>
      <w:r>
        <w:rPr>
          <w:rFonts w:ascii="Times New Roman" w:cs="Times New Roman" w:eastAsia="Times New Roman" w:hAnsi="Times New Roman"/>
          <w:sz w:val="18"/>
          <w:szCs w:val="18"/>
          <w:color w:val="auto"/>
        </w:rPr>
        <w:t xml:space="preserve"> below.</w:t>
      </w:r>
    </w:p>
    <w:p>
      <w:pPr>
        <w:spacing w:after="0" w:line="160" w:lineRule="exact"/>
        <w:rPr>
          <w:sz w:val="20"/>
          <w:szCs w:val="20"/>
          <w:color w:val="auto"/>
        </w:rPr>
      </w:pPr>
    </w:p>
    <w:p>
      <w:pPr>
        <w:ind w:left="960" w:hanging="308"/>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Blackout Periods.</w:t>
      </w:r>
    </w:p>
    <w:p>
      <w:pPr>
        <w:spacing w:after="0" w:line="221"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blackout periods described in </w:t>
      </w:r>
      <w:r>
        <w:rPr>
          <w:rFonts w:ascii="Times New Roman" w:cs="Times New Roman" w:eastAsia="Times New Roman" w:hAnsi="Times New Roman"/>
          <w:sz w:val="18"/>
          <w:szCs w:val="18"/>
          <w:b w:val="1"/>
          <w:bCs w:val="1"/>
          <w:color w:val="auto"/>
        </w:rPr>
        <w:t>Section H(1)</w:t>
      </w:r>
      <w:r>
        <w:rPr>
          <w:rFonts w:ascii="Times New Roman" w:cs="Times New Roman" w:eastAsia="Times New Roman" w:hAnsi="Times New Roman"/>
          <w:sz w:val="18"/>
          <w:szCs w:val="18"/>
          <w:color w:val="auto"/>
        </w:rPr>
        <w:t xml:space="preserve"> above, the Company may announce “</w:t>
      </w:r>
      <w:r>
        <w:rPr>
          <w:rFonts w:ascii="Times New Roman" w:cs="Times New Roman" w:eastAsia="Times New Roman" w:hAnsi="Times New Roman"/>
          <w:sz w:val="18"/>
          <w:szCs w:val="18"/>
          <w:b w:val="1"/>
          <w:bCs w:val="1"/>
          <w:u w:val="single" w:color="auto"/>
          <w:color w:val="auto"/>
        </w:rPr>
        <w:t>special</w:t>
      </w:r>
      <w:r>
        <w:rPr>
          <w:rFonts w:ascii="Times New Roman" w:cs="Times New Roman" w:eastAsia="Times New Roman" w:hAnsi="Times New Roman"/>
          <w:sz w:val="18"/>
          <w:szCs w:val="18"/>
          <w:color w:val="auto"/>
        </w:rPr>
        <w:t>” blackout periods from time to time. Typically, this will occur when there are nonpublic developments that would be considered material for insider trading law purposes, such as, among other things, developments relating to regulatory proceedings or a major corporate transaction. Depending on the circumstances, a “</w:t>
      </w:r>
      <w:r>
        <w:rPr>
          <w:rFonts w:ascii="Times New Roman" w:cs="Times New Roman" w:eastAsia="Times New Roman" w:hAnsi="Times New Roman"/>
          <w:sz w:val="18"/>
          <w:szCs w:val="18"/>
          <w:b w:val="1"/>
          <w:bCs w:val="1"/>
          <w:u w:val="single" w:color="auto"/>
          <w:color w:val="auto"/>
        </w:rPr>
        <w:t>special</w:t>
      </w:r>
      <w:r>
        <w:rPr>
          <w:rFonts w:ascii="Times New Roman" w:cs="Times New Roman" w:eastAsia="Times New Roman" w:hAnsi="Times New Roman"/>
          <w:sz w:val="18"/>
          <w:szCs w:val="18"/>
          <w:color w:val="auto"/>
        </w:rPr>
        <w:t>” blackout period may apply to all Section 16 Individuals and Key Employees, and certain other Covered Persons, or only a specific group of Section 16 Individuals and Key Employees or Covered Persons. The Compliance Officer will provide written notice to designated persons subject to a “</w:t>
      </w:r>
      <w:r>
        <w:rPr>
          <w:rFonts w:ascii="Times New Roman" w:cs="Times New Roman" w:eastAsia="Times New Roman" w:hAnsi="Times New Roman"/>
          <w:sz w:val="18"/>
          <w:szCs w:val="18"/>
          <w:b w:val="1"/>
          <w:bCs w:val="1"/>
          <w:u w:val="single" w:color="auto"/>
          <w:color w:val="auto"/>
        </w:rPr>
        <w:t>special</w:t>
      </w:r>
      <w:r>
        <w:rPr>
          <w:rFonts w:ascii="Times New Roman" w:cs="Times New Roman" w:eastAsia="Times New Roman" w:hAnsi="Times New Roman"/>
          <w:sz w:val="18"/>
          <w:szCs w:val="18"/>
          <w:color w:val="auto"/>
        </w:rPr>
        <w:t>” blackout period. Any person made aware of the existence of a “</w:t>
      </w:r>
      <w:r>
        <w:rPr>
          <w:rFonts w:ascii="Times New Roman" w:cs="Times New Roman" w:eastAsia="Times New Roman" w:hAnsi="Times New Roman"/>
          <w:sz w:val="18"/>
          <w:szCs w:val="18"/>
          <w:b w:val="1"/>
          <w:bCs w:val="1"/>
          <w:u w:val="single" w:color="auto"/>
          <w:color w:val="auto"/>
        </w:rPr>
        <w:t>special</w:t>
      </w:r>
      <w:r>
        <w:rPr>
          <w:rFonts w:ascii="Times New Roman" w:cs="Times New Roman" w:eastAsia="Times New Roman" w:hAnsi="Times New Roman"/>
          <w:sz w:val="18"/>
          <w:szCs w:val="18"/>
          <w:color w:val="auto"/>
        </w:rPr>
        <w:t>” blackout period should not disclose the existence of the blackout period to any other person. The failure of the Company to designate a person as being subject to a “</w:t>
      </w:r>
      <w:r>
        <w:rPr>
          <w:rFonts w:ascii="Times New Roman" w:cs="Times New Roman" w:eastAsia="Times New Roman" w:hAnsi="Times New Roman"/>
          <w:sz w:val="18"/>
          <w:szCs w:val="18"/>
          <w:b w:val="1"/>
          <w:bCs w:val="1"/>
          <w:u w:val="single" w:color="auto"/>
          <w:color w:val="auto"/>
        </w:rPr>
        <w:t>special</w:t>
      </w:r>
      <w:r>
        <w:rPr>
          <w:rFonts w:ascii="Times New Roman" w:cs="Times New Roman" w:eastAsia="Times New Roman" w:hAnsi="Times New Roman"/>
          <w:sz w:val="18"/>
          <w:szCs w:val="18"/>
          <w:color w:val="auto"/>
        </w:rPr>
        <w:t>” blackout period will not relieve that person of the obligation not to trade while aware of Material Nonpublic Information. As used in this Policy, the term “</w:t>
      </w:r>
      <w:r>
        <w:rPr>
          <w:rFonts w:ascii="Times New Roman" w:cs="Times New Roman" w:eastAsia="Times New Roman" w:hAnsi="Times New Roman"/>
          <w:sz w:val="18"/>
          <w:szCs w:val="18"/>
          <w:b w:val="1"/>
          <w:bCs w:val="1"/>
          <w:u w:val="single" w:color="auto"/>
          <w:color w:val="auto"/>
        </w:rPr>
        <w:t>Blackout Period</w:t>
      </w:r>
      <w:r>
        <w:rPr>
          <w:rFonts w:ascii="Times New Roman" w:cs="Times New Roman" w:eastAsia="Times New Roman" w:hAnsi="Times New Roman"/>
          <w:sz w:val="18"/>
          <w:szCs w:val="18"/>
          <w:color w:val="auto"/>
        </w:rPr>
        <w:t>” shall mean all periodic report blackout periods (as applicable to Section 16 Individuals and Key Employees) as discussed above and all “</w:t>
      </w:r>
      <w:r>
        <w:rPr>
          <w:rFonts w:ascii="Times New Roman" w:cs="Times New Roman" w:eastAsia="Times New Roman" w:hAnsi="Times New Roman"/>
          <w:sz w:val="18"/>
          <w:szCs w:val="18"/>
          <w:b w:val="1"/>
          <w:bCs w:val="1"/>
          <w:u w:val="single" w:color="auto"/>
          <w:color w:val="auto"/>
        </w:rPr>
        <w:t>special</w:t>
      </w:r>
      <w:r>
        <w:rPr>
          <w:rFonts w:ascii="Times New Roman" w:cs="Times New Roman" w:eastAsia="Times New Roman" w:hAnsi="Times New Roman"/>
          <w:sz w:val="18"/>
          <w:szCs w:val="18"/>
          <w:color w:val="auto"/>
        </w:rPr>
        <w:t>” blackout periods announced by the Company.</w:t>
      </w:r>
    </w:p>
    <w:p>
      <w:pPr>
        <w:spacing w:after="0" w:line="190"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purpose behind the Blackout Period is to help establish a diligent effort to avoid any improper transactions. Trading in the Company’s securities outside a Blackout Period should not be considered a “</w:t>
      </w:r>
      <w:r>
        <w:rPr>
          <w:rFonts w:ascii="Times New Roman" w:cs="Times New Roman" w:eastAsia="Times New Roman" w:hAnsi="Times New Roman"/>
          <w:sz w:val="18"/>
          <w:szCs w:val="18"/>
          <w:b w:val="1"/>
          <w:bCs w:val="1"/>
          <w:u w:val="single" w:color="auto"/>
          <w:color w:val="auto"/>
        </w:rPr>
        <w:t>safe harbor</w:t>
      </w:r>
      <w:r>
        <w:rPr>
          <w:rFonts w:ascii="Times New Roman" w:cs="Times New Roman" w:eastAsia="Times New Roman" w:hAnsi="Times New Roman"/>
          <w:sz w:val="18"/>
          <w:szCs w:val="18"/>
          <w:color w:val="auto"/>
        </w:rPr>
        <w:t>”, and all employees, officers and directors and other persons subject to this Policy should use good judgment at all times. Even outside a Blackout Period, any person possessing Material Nonpublic Information concerning the Company should not engage in any transactions in the Company’s securities until after such information has been Publicly Disclosed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spacing w:after="0" w:line="184" w:lineRule="exact"/>
        <w:rPr>
          <w:sz w:val="20"/>
          <w:szCs w:val="20"/>
          <w:color w:val="auto"/>
        </w:rPr>
      </w:pPr>
    </w:p>
    <w:p>
      <w:pPr>
        <w:ind w:left="960" w:hanging="308"/>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 to Blackout Periods.</w:t>
      </w:r>
    </w:p>
    <w:p>
      <w:pPr>
        <w:spacing w:after="0" w:line="220" w:lineRule="exact"/>
        <w:rPr>
          <w:rFonts w:ascii="Times New Roman" w:cs="Times New Roman" w:eastAsia="Times New Roman" w:hAnsi="Times New Roman"/>
          <w:sz w:val="18"/>
          <w:szCs w:val="18"/>
          <w:color w:val="auto"/>
        </w:rPr>
      </w:pPr>
    </w:p>
    <w:p>
      <w:pPr>
        <w:jc w:val="both"/>
        <w:ind w:left="660" w:firstLine="637"/>
        <w:spacing w:after="0" w:line="256" w:lineRule="auto"/>
        <w:tabs>
          <w:tab w:leader="none" w:pos="168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restrictions on trading described in </w:t>
      </w:r>
      <w:r>
        <w:rPr>
          <w:rFonts w:ascii="Times New Roman" w:cs="Times New Roman" w:eastAsia="Times New Roman" w:hAnsi="Times New Roman"/>
          <w:sz w:val="18"/>
          <w:szCs w:val="18"/>
          <w:b w:val="1"/>
          <w:bCs w:val="1"/>
          <w:color w:val="auto"/>
        </w:rPr>
        <w:t>Sections H(1), (3) and (3)</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u w:val="single" w:color="auto"/>
          <w:color w:val="auto"/>
        </w:rPr>
        <w:t>Trading Restrictions</w:t>
      </w:r>
      <w:r>
        <w:rPr>
          <w:rFonts w:ascii="Times New Roman" w:cs="Times New Roman" w:eastAsia="Times New Roman" w:hAnsi="Times New Roman"/>
          <w:sz w:val="18"/>
          <w:szCs w:val="18"/>
          <w:color w:val="auto"/>
        </w:rPr>
        <w:t>”) do not apply to exercises of stock options or other equity awards or the surrender of shares to the Company in payment of the exercise price (net cashless exercises) or in satisfaction of any tax withholding obligations in a manner permitted by the applicable equity award agreement, or vesting of equity-based awards, that in each case do not involve a market sale of the Company’s securities (the “</w:t>
      </w:r>
      <w:r>
        <w:rPr>
          <w:rFonts w:ascii="Times New Roman" w:cs="Times New Roman" w:eastAsia="Times New Roman" w:hAnsi="Times New Roman"/>
          <w:sz w:val="18"/>
          <w:szCs w:val="18"/>
          <w:b w:val="1"/>
          <w:bCs w:val="1"/>
          <w:u w:val="single" w:color="auto"/>
          <w:color w:val="auto"/>
        </w:rPr>
        <w:t>cashless exercise</w:t>
      </w:r>
      <w:r>
        <w:rPr>
          <w:rFonts w:ascii="Times New Roman" w:cs="Times New Roman" w:eastAsia="Times New Roman" w:hAnsi="Times New Roman"/>
          <w:sz w:val="18"/>
          <w:szCs w:val="18"/>
          <w:color w:val="auto"/>
        </w:rPr>
        <w:t>” of a Company stock option through a broker does involve a market sale of the Company’s securities, and therefore would not qualify under this exception); however, such restrictions would restrict the sale of such shares issuable upon exercise until the applicable windows are open.</w:t>
      </w:r>
    </w:p>
    <w:p>
      <w:pPr>
        <w:spacing w:after="0" w:line="184" w:lineRule="exact"/>
        <w:rPr>
          <w:rFonts w:ascii="Times New Roman" w:cs="Times New Roman" w:eastAsia="Times New Roman" w:hAnsi="Times New Roman"/>
          <w:sz w:val="18"/>
          <w:szCs w:val="18"/>
          <w:color w:val="auto"/>
        </w:rPr>
      </w:pPr>
    </w:p>
    <w:p>
      <w:pPr>
        <w:ind w:left="1640" w:hanging="343"/>
        <w:spacing w:after="0"/>
        <w:tabs>
          <w:tab w:leader="none" w:pos="16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Restrictions also do not apply to bona fide gifts of the Company’s securities.</w:t>
      </w:r>
    </w:p>
    <w:p>
      <w:pPr>
        <w:spacing w:after="0" w:line="222" w:lineRule="exact"/>
        <w:rPr>
          <w:rFonts w:ascii="Times New Roman" w:cs="Times New Roman" w:eastAsia="Times New Roman" w:hAnsi="Times New Roman"/>
          <w:sz w:val="18"/>
          <w:szCs w:val="18"/>
          <w:color w:val="auto"/>
        </w:rPr>
      </w:pPr>
    </w:p>
    <w:p>
      <w:pPr>
        <w:jc w:val="both"/>
        <w:ind w:left="660" w:firstLine="637"/>
        <w:spacing w:after="0" w:line="259" w:lineRule="auto"/>
        <w:tabs>
          <w:tab w:leader="none" w:pos="175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restricted stock, or the exercise of a tax withhold right pursuant to which a Covered Person elects to have the Company withhold shares of stock to satisfy tax withholding requirements upon the vesting of any restricted stock, provided that any securities acquired pursuant to such vesting may not be sold while the Covered Person is in possession of Material Nonpublic Information or subject to a special trading blackout or, with respect to Section 16 Individuals and Key Employees, while the Company’s trading window is closed.</w:t>
      </w:r>
    </w:p>
    <w:p>
      <w:pPr>
        <w:spacing w:after="0" w:line="181" w:lineRule="exact"/>
        <w:rPr>
          <w:rFonts w:ascii="Times New Roman" w:cs="Times New Roman" w:eastAsia="Times New Roman" w:hAnsi="Times New Roman"/>
          <w:sz w:val="18"/>
          <w:szCs w:val="18"/>
          <w:color w:val="auto"/>
        </w:rPr>
      </w:pPr>
    </w:p>
    <w:p>
      <w:pPr>
        <w:ind w:left="1660" w:hanging="363"/>
        <w:spacing w:after="0"/>
        <w:tabs>
          <w:tab w:leader="none" w:pos="1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purchases of securities from the Company or sales of securities to the Company that do not involve a market transaction.</w:t>
      </w:r>
    </w:p>
    <w:p>
      <w:pPr>
        <w:spacing w:after="0" w:line="222" w:lineRule="exact"/>
        <w:rPr>
          <w:rFonts w:ascii="Times New Roman" w:cs="Times New Roman" w:eastAsia="Times New Roman" w:hAnsi="Times New Roman"/>
          <w:sz w:val="18"/>
          <w:szCs w:val="18"/>
          <w:color w:val="auto"/>
        </w:rPr>
      </w:pPr>
    </w:p>
    <w:p>
      <w:pPr>
        <w:ind w:left="1640" w:hanging="343"/>
        <w:spacing w:after="0"/>
        <w:tabs>
          <w:tab w:leader="none" w:pos="16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made pursuant to a Rule 10b5-1 plan that is adopted and operated in compliance with the terms of this Policy (see</w:t>
      </w:r>
    </w:p>
    <w:p>
      <w:pPr>
        <w:spacing w:after="0" w:line="2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J</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5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8" w:name="page119"/>
    <w:bookmarkEnd w:id="118"/>
    <w:p>
      <w:pPr>
        <w:ind w:left="500" w:firstLine="637"/>
        <w:spacing w:after="0" w:line="280" w:lineRule="auto"/>
        <w:tabs>
          <w:tab w:leader="none" w:pos="14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may, on a case-by-case basis, authorize trading in Company securities outside of the applicable trading windows (but not during special trading blackout periods) due to financial hardship or other hardships only after:</w:t>
      </w:r>
    </w:p>
    <w:p>
      <w:pPr>
        <w:spacing w:after="0" w:line="161" w:lineRule="exact"/>
        <w:rPr>
          <w:rFonts w:ascii="Times New Roman" w:cs="Times New Roman" w:eastAsia="Times New Roman" w:hAnsi="Times New Roman"/>
          <w:sz w:val="18"/>
          <w:szCs w:val="18"/>
          <w:color w:val="auto"/>
        </w:rPr>
      </w:pPr>
    </w:p>
    <w:p>
      <w:pPr>
        <w:ind w:left="1780" w:hanging="338"/>
        <w:spacing w:after="0" w:line="280" w:lineRule="auto"/>
        <w:tabs>
          <w:tab w:leader="none" w:pos="202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trading has notified the Chief Executive Officer in writing of the circumstances of the hardship and the amount and nature of the proposed trade(s);</w:t>
      </w:r>
    </w:p>
    <w:p>
      <w:pPr>
        <w:spacing w:after="0" w:line="161" w:lineRule="exact"/>
        <w:rPr>
          <w:rFonts w:ascii="Times New Roman" w:cs="Times New Roman" w:eastAsia="Times New Roman" w:hAnsi="Times New Roman"/>
          <w:sz w:val="18"/>
          <w:szCs w:val="18"/>
          <w:color w:val="auto"/>
        </w:rPr>
      </w:pPr>
    </w:p>
    <w:p>
      <w:pPr>
        <w:ind w:left="1780" w:hanging="338"/>
        <w:spacing w:after="0" w:line="280" w:lineRule="auto"/>
        <w:tabs>
          <w:tab w:leader="none" w:pos="222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trading has certified to the Chief Executive Officer in writing no earlier than two business days prior to the proposed trade(s) that he or she is not in possession of material nonpublic information concerning the Company; and</w:t>
      </w:r>
    </w:p>
    <w:p>
      <w:pPr>
        <w:spacing w:after="0" w:line="161" w:lineRule="exact"/>
        <w:rPr>
          <w:rFonts w:ascii="Times New Roman" w:cs="Times New Roman" w:eastAsia="Times New Roman" w:hAnsi="Times New Roman"/>
          <w:sz w:val="18"/>
          <w:szCs w:val="18"/>
          <w:color w:val="auto"/>
        </w:rPr>
      </w:pPr>
    </w:p>
    <w:p>
      <w:pPr>
        <w:ind w:left="2020" w:hanging="578"/>
        <w:spacing w:after="0"/>
        <w:tabs>
          <w:tab w:leader="none" w:pos="2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has approved the trade(s).</w:t>
      </w:r>
    </w:p>
    <w:p>
      <w:pPr>
        <w:spacing w:after="0" w:line="223" w:lineRule="exact"/>
        <w:rPr>
          <w:sz w:val="20"/>
          <w:szCs w:val="20"/>
          <w:color w:val="auto"/>
        </w:rPr>
      </w:pPr>
    </w:p>
    <w:p>
      <w:pPr>
        <w:ind w:left="500" w:firstLine="645"/>
        <w:spacing w:after="0" w:line="280" w:lineRule="auto"/>
        <w:rPr>
          <w:sz w:val="20"/>
          <w:szCs w:val="20"/>
          <w:color w:val="auto"/>
        </w:rPr>
      </w:pPr>
      <w:r>
        <w:rPr>
          <w:rFonts w:ascii="Times New Roman" w:cs="Times New Roman" w:eastAsia="Times New Roman" w:hAnsi="Times New Roman"/>
          <w:sz w:val="18"/>
          <w:szCs w:val="18"/>
          <w:color w:val="auto"/>
        </w:rPr>
        <w:t>The existence of the foregoing approval procedures does not in any way obligate the Chief Executive Officer to approve any trades requested by hardship applicants. The Chief Executive Officer may reject any trading requests at his sole reasonable discretion.</w:t>
      </w:r>
    </w:p>
    <w:p>
      <w:pPr>
        <w:spacing w:after="0" w:line="160" w:lineRule="exact"/>
        <w:rPr>
          <w:sz w:val="20"/>
          <w:szCs w:val="20"/>
          <w:color w:val="auto"/>
        </w:rPr>
      </w:pPr>
    </w:p>
    <w:p>
      <w:pPr>
        <w:ind w:left="-160" w:firstLine="652"/>
        <w:spacing w:after="0" w:line="282" w:lineRule="auto"/>
        <w:tabs>
          <w:tab w:leader="none" w:pos="84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Nondisclosure. </w:t>
      </w:r>
      <w:r>
        <w:rPr>
          <w:rFonts w:ascii="Times New Roman" w:cs="Times New Roman" w:eastAsia="Times New Roman" w:hAnsi="Times New Roman"/>
          <w:sz w:val="18"/>
          <w:szCs w:val="18"/>
          <w:color w:val="auto"/>
        </w:rPr>
        <w:t>Material inside information must not be disclosed to anyone, except to persons within the Company whose positions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to know it, until it has been publicly released by the Company.</w:t>
      </w:r>
    </w:p>
    <w:p>
      <w:pPr>
        <w:spacing w:after="0" w:line="158" w:lineRule="exact"/>
        <w:rPr>
          <w:rFonts w:ascii="Times New Roman" w:cs="Times New Roman" w:eastAsia="Times New Roman" w:hAnsi="Times New Roman"/>
          <w:sz w:val="18"/>
          <w:szCs w:val="18"/>
          <w:color w:val="auto"/>
        </w:rPr>
      </w:pPr>
    </w:p>
    <w:p>
      <w:pPr>
        <w:jc w:val="both"/>
        <w:ind w:left="-160" w:firstLine="652"/>
        <w:spacing w:after="0" w:line="257" w:lineRule="auto"/>
        <w:tabs>
          <w:tab w:leader="none" w:pos="8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Avoid Speculation. </w:t>
      </w:r>
      <w:r>
        <w:rPr>
          <w:rFonts w:ascii="Times New Roman" w:cs="Times New Roman" w:eastAsia="Times New Roman" w:hAnsi="Times New Roman"/>
          <w:sz w:val="18"/>
          <w:szCs w:val="18"/>
          <w:color w:val="auto"/>
        </w:rPr>
        <w:t>The Company encourages all Covered Persons to avoid speculating in the Company’s stock. Our stock option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Key Employees and Section 16 Individuals an opportunity to share in the future growth of the Company. But investing means buying to share in the growth of the Company, it does not mean short-range speculation based on fluctuations in the market. Subject to the prohibition on trading on inside information and the other policies described herein, Key Employees and Section 16 Individuals may sell shares acquired through exercise of options. The Company, however, encourages you to avoid frequent trading in Company stock.</w:t>
      </w:r>
    </w:p>
    <w:p>
      <w:pPr>
        <w:spacing w:after="0" w:line="181" w:lineRule="exact"/>
        <w:rPr>
          <w:rFonts w:ascii="Times New Roman" w:cs="Times New Roman" w:eastAsia="Times New Roman" w:hAnsi="Times New Roman"/>
          <w:sz w:val="18"/>
          <w:szCs w:val="18"/>
          <w:color w:val="auto"/>
        </w:rPr>
      </w:pPr>
    </w:p>
    <w:p>
      <w:pPr>
        <w:jc w:val="both"/>
        <w:ind w:left="-160" w:firstLine="652"/>
        <w:spacing w:after="0" w:line="257" w:lineRule="auto"/>
        <w:tabs>
          <w:tab w:leader="none" w:pos="8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in Other Securities. </w:t>
      </w:r>
      <w:r>
        <w:rPr>
          <w:rFonts w:ascii="Times New Roman" w:cs="Times New Roman" w:eastAsia="Times New Roman" w:hAnsi="Times New Roman"/>
          <w:sz w:val="18"/>
          <w:szCs w:val="18"/>
          <w:color w:val="auto"/>
        </w:rPr>
        <w:t>No Covered Person should place a purchase or sale order, or recommend that another person place a purchase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order, in the securities of another corporation, if such person learns in the course of his or her employment or involvement with the Company confidential information about the other corporation that is likely to affect the value of those securities. For example, it would be a violation of the securities laws if an employee learned through Company sources that the Company intended to purchase assets from a corporation, and then bought or sold stock in that other corporation because of the likely increase or decrease in the value of its securities.</w:t>
      </w:r>
    </w:p>
    <w:p>
      <w:pPr>
        <w:spacing w:after="0" w:line="181" w:lineRule="exact"/>
        <w:rPr>
          <w:rFonts w:ascii="Times New Roman" w:cs="Times New Roman" w:eastAsia="Times New Roman" w:hAnsi="Times New Roman"/>
          <w:sz w:val="18"/>
          <w:szCs w:val="18"/>
          <w:color w:val="auto"/>
        </w:rPr>
      </w:pPr>
    </w:p>
    <w:p>
      <w:pPr>
        <w:jc w:val="both"/>
        <w:ind w:left="-160" w:firstLine="652"/>
        <w:spacing w:after="0" w:line="257" w:lineRule="auto"/>
        <w:tabs>
          <w:tab w:leader="none" w:pos="8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of Statutory or Regulatory Trading Restrictions. </w:t>
      </w:r>
      <w:r>
        <w:rPr>
          <w:rFonts w:ascii="Times New Roman" w:cs="Times New Roman" w:eastAsia="Times New Roman" w:hAnsi="Times New Roman"/>
          <w:sz w:val="18"/>
          <w:szCs w:val="18"/>
          <w:color w:val="auto"/>
        </w:rPr>
        <w:t>The trading prohibitions and restrictions set forth in this Policy will be superseded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greater prohibitions or restrictions prescribed by federal or state securities laws and regulations, e.g., short-swing trading by individuals pursuant to Section 16 of the Securities Exchange Act of 1934, as amended (discussed below) or restrictions on the sale of securities subject to Rule 144 under the Securities Act of 1933, as amended. Any individual who is uncertain whether other prohibitions or restrictions apply should ask the Company’s Compliance Officer.</w:t>
      </w:r>
    </w:p>
    <w:p>
      <w:pPr>
        <w:spacing w:after="0" w:line="181" w:lineRule="exact"/>
        <w:rPr>
          <w:rFonts w:ascii="Times New Roman" w:cs="Times New Roman" w:eastAsia="Times New Roman" w:hAnsi="Times New Roman"/>
          <w:sz w:val="18"/>
          <w:szCs w:val="18"/>
          <w:color w:val="auto"/>
        </w:rPr>
      </w:pPr>
    </w:p>
    <w:p>
      <w:pPr>
        <w:jc w:val="both"/>
        <w:ind w:left="-160" w:firstLine="652"/>
        <w:spacing w:after="0" w:line="252" w:lineRule="auto"/>
        <w:tabs>
          <w:tab w:leader="none" w:pos="8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Against Buying and Selling Company Common Stock Within a Six-Month Period. </w:t>
      </w:r>
      <w:r>
        <w:rPr>
          <w:rFonts w:ascii="Times New Roman" w:cs="Times New Roman" w:eastAsia="Times New Roman" w:hAnsi="Times New Roman"/>
          <w:sz w:val="18"/>
          <w:szCs w:val="18"/>
          <w:color w:val="auto"/>
        </w:rPr>
        <w:t>Purchases and sales (or sales and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common stock by any Section 16 Individual, occurring within any six-month period in which a mathematical profit is realized result in illegal “</w:t>
      </w:r>
      <w:r>
        <w:rPr>
          <w:rFonts w:ascii="Times New Roman" w:cs="Times New Roman" w:eastAsia="Times New Roman" w:hAnsi="Times New Roman"/>
          <w:sz w:val="18"/>
          <w:szCs w:val="18"/>
          <w:b w:val="1"/>
          <w:bCs w:val="1"/>
          <w:u w:val="single" w:color="auto"/>
          <w:color w:val="auto"/>
        </w:rPr>
        <w:t>short-swing profits</w:t>
      </w:r>
      <w:r>
        <w:rPr>
          <w:rFonts w:ascii="Times New Roman" w:cs="Times New Roman" w:eastAsia="Times New Roman" w:hAnsi="Times New Roman"/>
          <w:sz w:val="18"/>
          <w:szCs w:val="18"/>
          <w:color w:val="auto"/>
        </w:rPr>
        <w:t>.” The prohibition against short-swing profits is found in Section 16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Section 16 was drafted as a rather arbitrary prohibition against profitable “</w:t>
      </w:r>
      <w:r>
        <w:rPr>
          <w:rFonts w:ascii="Times New Roman" w:cs="Times New Roman" w:eastAsia="Times New Roman" w:hAnsi="Times New Roman"/>
          <w:sz w:val="18"/>
          <w:szCs w:val="18"/>
          <w:b w:val="1"/>
          <w:bCs w:val="1"/>
          <w:u w:val="single" w:color="auto"/>
          <w:color w:val="auto"/>
        </w:rPr>
        <w:t>insider trading</w:t>
      </w:r>
      <w:r>
        <w:rPr>
          <w:rFonts w:ascii="Times New Roman" w:cs="Times New Roman" w:eastAsia="Times New Roman" w:hAnsi="Times New Roman"/>
          <w:sz w:val="18"/>
          <w:szCs w:val="18"/>
          <w:color w:val="auto"/>
        </w:rPr>
        <w:t>” in a company’s securities within any six-month period regardless of the presence or absence of material nonpublic information that may affect the market price of those securities. Each Section 16 Individual and 10% or greater stockholder of the Company is subject to the prohibition against short-swing profits under Section 16. Such persons are required to file Forms 3, 4 and 5 reports reporting his or her initial ownership of the Company’s common stock and any subsequent changes in such ownership. The Sarbanes-Oxley Act of 2002 requires Section 16 Individuals who must report transactions on Form 4 to do so by the end of the second business day following the transaction date. Profit realized, for the purposes of Section 16, is calculated generally to provide maximum recovery by the Company. The measure of damages is the profit computed from any purchase and sale or any sale and purchase within the short-swing (i.e., six-month) period, without regard to any setoffs for losses, any first-in or first-out rules, or the identity of the shares of common stock. This approach sometimes has been called the “</w:t>
      </w:r>
      <w:r>
        <w:rPr>
          <w:rFonts w:ascii="Times New Roman" w:cs="Times New Roman" w:eastAsia="Times New Roman" w:hAnsi="Times New Roman"/>
          <w:sz w:val="18"/>
          <w:szCs w:val="18"/>
          <w:b w:val="1"/>
          <w:bCs w:val="1"/>
          <w:u w:val="single" w:color="auto"/>
          <w:color w:val="auto"/>
        </w:rPr>
        <w:t>lowest price in, highest price out</w:t>
      </w:r>
      <w:r>
        <w:rPr>
          <w:rFonts w:ascii="Times New Roman" w:cs="Times New Roman" w:eastAsia="Times New Roman" w:hAnsi="Times New Roman"/>
          <w:sz w:val="18"/>
          <w:szCs w:val="18"/>
          <w:color w:val="auto"/>
        </w:rPr>
        <w:t>” rule and can result in a realization of “</w:t>
      </w:r>
      <w:r>
        <w:rPr>
          <w:rFonts w:ascii="Times New Roman" w:cs="Times New Roman" w:eastAsia="Times New Roman" w:hAnsi="Times New Roman"/>
          <w:sz w:val="18"/>
          <w:szCs w:val="18"/>
          <w:b w:val="1"/>
          <w:bCs w:val="1"/>
          <w:u w:val="single" w:color="auto"/>
          <w:color w:val="auto"/>
        </w:rPr>
        <w:t>profits</w:t>
      </w:r>
      <w:r>
        <w:rPr>
          <w:rFonts w:ascii="Times New Roman" w:cs="Times New Roman" w:eastAsia="Times New Roman" w:hAnsi="Times New Roman"/>
          <w:sz w:val="18"/>
          <w:szCs w:val="18"/>
          <w:color w:val="auto"/>
        </w:rPr>
        <w:t>” for Section 16 purposes even when the insider has suffered a net loss on his or her trade.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73025</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80"/>
          </w:cols>
          <w:pgMar w:left="480" w:top="578"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rules on recovery of short-swing profits are absolute and do not depend on whether a person has Material Nonpublic Information.</w:t>
      </w:r>
    </w:p>
    <w:p>
      <w:pPr>
        <w:spacing w:after="0" w:line="225" w:lineRule="exact"/>
        <w:rPr>
          <w:sz w:val="20"/>
          <w:szCs w:val="20"/>
          <w:color w:val="auto"/>
        </w:rPr>
      </w:pPr>
    </w:p>
    <w:p>
      <w:pPr>
        <w:jc w:val="both"/>
        <w:ind w:firstLine="652"/>
        <w:spacing w:after="0" w:line="260" w:lineRule="auto"/>
        <w:tabs>
          <w:tab w:leader="none" w:pos="113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Publicly Traded Options. </w:t>
      </w:r>
      <w:r>
        <w:rPr>
          <w:rFonts w:ascii="Times New Roman" w:cs="Times New Roman" w:eastAsia="Times New Roman" w:hAnsi="Times New Roman"/>
          <w:sz w:val="18"/>
          <w:szCs w:val="18"/>
          <w:color w:val="auto"/>
        </w:rPr>
        <w:t>A transaction in options is, in effect, a bet on the short-term movement of the Company’s stock and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creates the appearance that the holder is trading based on inside information. Transactions in options also may focus the trader’s attention on short-term performance at the expense of the Company’s long-term objectives. Accordingly, transactions in puts, calls or other derivative securities, on an exchange or in any other organized market, are prohibited.</w:t>
      </w:r>
    </w:p>
    <w:p>
      <w:pPr>
        <w:spacing w:after="0" w:line="177" w:lineRule="exact"/>
        <w:rPr>
          <w:rFonts w:ascii="Times New Roman" w:cs="Times New Roman" w:eastAsia="Times New Roman" w:hAnsi="Times New Roman"/>
          <w:sz w:val="18"/>
          <w:szCs w:val="18"/>
          <w:color w:val="auto"/>
        </w:rPr>
      </w:pPr>
    </w:p>
    <w:p>
      <w:pPr>
        <w:ind w:firstLine="652"/>
        <w:spacing w:after="0" w:line="282" w:lineRule="auto"/>
        <w:tabs>
          <w:tab w:leader="none" w:pos="10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Restrictions on Margin Accounts and Pledges; Derivatives and Hedging; Trading in Options or Making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Sales. </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F</w:t>
      </w:r>
      <w:r>
        <w:rPr>
          <w:rFonts w:ascii="Times New Roman" w:cs="Times New Roman" w:eastAsia="Times New Roman" w:hAnsi="Times New Roman"/>
          <w:sz w:val="18"/>
          <w:szCs w:val="18"/>
          <w:color w:val="auto"/>
        </w:rPr>
        <w:t>,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restrictions which apply to Covered Persons under this Policy.</w:t>
      </w:r>
    </w:p>
    <w:p>
      <w:pPr>
        <w:spacing w:after="0" w:line="158" w:lineRule="exact"/>
        <w:rPr>
          <w:rFonts w:ascii="Times New Roman" w:cs="Times New Roman" w:eastAsia="Times New Roman" w:hAnsi="Times New Roman"/>
          <w:sz w:val="18"/>
          <w:szCs w:val="18"/>
          <w:color w:val="auto"/>
        </w:rPr>
      </w:pPr>
    </w:p>
    <w:p>
      <w:pPr>
        <w:jc w:val="both"/>
        <w:ind w:firstLine="652"/>
        <w:spacing w:after="0" w:line="257" w:lineRule="auto"/>
        <w:tabs>
          <w:tab w:leader="none" w:pos="11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Post-Termination Transactions. </w:t>
      </w:r>
      <w:r>
        <w:rPr>
          <w:rFonts w:ascii="Times New Roman" w:cs="Times New Roman" w:eastAsia="Times New Roman" w:hAnsi="Times New Roman"/>
          <w:sz w:val="18"/>
          <w:szCs w:val="18"/>
          <w:color w:val="auto"/>
        </w:rPr>
        <w:t>This Policy continues to apply to transactions in Company securities even after a Covered Person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resigned or terminated employment</w:t>
      </w:r>
      <w:r>
        <w:rPr>
          <w:rFonts w:ascii="Times New Roman" w:cs="Times New Roman" w:eastAsia="Times New Roman" w:hAnsi="Times New Roman"/>
          <w:sz w:val="18"/>
          <w:szCs w:val="18"/>
          <w:i w:val="1"/>
          <w:iCs w:val="1"/>
          <w:color w:val="auto"/>
        </w:rPr>
        <w:t>, except that</w:t>
      </w:r>
      <w:r>
        <w:rPr>
          <w:rFonts w:ascii="Times New Roman" w:cs="Times New Roman" w:eastAsia="Times New Roman" w:hAnsi="Times New Roman"/>
          <w:sz w:val="18"/>
          <w:szCs w:val="18"/>
          <w:color w:val="auto"/>
        </w:rPr>
        <w:t xml:space="preserve"> the blackout windows set forth in </w:t>
      </w:r>
      <w:r>
        <w:rPr>
          <w:rFonts w:ascii="Times New Roman" w:cs="Times New Roman" w:eastAsia="Times New Roman" w:hAnsi="Times New Roman"/>
          <w:sz w:val="18"/>
          <w:szCs w:val="18"/>
          <w:b w:val="1"/>
          <w:bCs w:val="1"/>
          <w:color w:val="auto"/>
        </w:rPr>
        <w:t>Section H(2)</w:t>
      </w:r>
      <w:r>
        <w:rPr>
          <w:rFonts w:ascii="Times New Roman" w:cs="Times New Roman" w:eastAsia="Times New Roman" w:hAnsi="Times New Roman"/>
          <w:sz w:val="18"/>
          <w:szCs w:val="18"/>
          <w:color w:val="auto"/>
        </w:rPr>
        <w:t xml:space="preserve"> will cease to apply to transactions in the Company’s securities, upon the opening of the Company’s trading window and/or expiration of any special trading blackout period after the date of termination of the Covered Person. If the person who resigns or separates from the Company is in possession of Material Nonpublic Information at that time, he or she may not trade in Company securities until that information has become public or is no longer material.</w:t>
      </w:r>
    </w:p>
    <w:p>
      <w:pPr>
        <w:spacing w:after="0" w:line="181" w:lineRule="exact"/>
        <w:rPr>
          <w:rFonts w:ascii="Times New Roman" w:cs="Times New Roman" w:eastAsia="Times New Roman" w:hAnsi="Times New Roman"/>
          <w:sz w:val="18"/>
          <w:szCs w:val="18"/>
          <w:color w:val="auto"/>
        </w:rPr>
      </w:pPr>
    </w:p>
    <w:p>
      <w:pPr>
        <w:jc w:val="both"/>
        <w:ind w:firstLine="652"/>
        <w:spacing w:after="0" w:line="265" w:lineRule="auto"/>
        <w:tabs>
          <w:tab w:leader="none" w:pos="107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Section 16 Individual Cashless Exercises. </w:t>
      </w:r>
      <w:r>
        <w:rPr>
          <w:rFonts w:ascii="Times New Roman" w:cs="Times New Roman" w:eastAsia="Times New Roman" w:hAnsi="Times New Roman"/>
          <w:sz w:val="18"/>
          <w:szCs w:val="18"/>
          <w:color w:val="auto"/>
        </w:rPr>
        <w:t>The Company will not arrange with brokers to administer cashless exercises on behalf of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 Individuals of the Company. This approach is to avoid any inference that the Company has “</w:t>
      </w:r>
      <w:r>
        <w:rPr>
          <w:rFonts w:ascii="Times New Roman" w:cs="Times New Roman" w:eastAsia="Times New Roman" w:hAnsi="Times New Roman"/>
          <w:sz w:val="18"/>
          <w:szCs w:val="18"/>
          <w:u w:val="single" w:color="auto"/>
          <w:color w:val="auto"/>
        </w:rPr>
        <w:t>extended credit</w:t>
      </w:r>
      <w:r>
        <w:rPr>
          <w:rFonts w:ascii="Times New Roman" w:cs="Times New Roman" w:eastAsia="Times New Roman" w:hAnsi="Times New Roman"/>
          <w:sz w:val="18"/>
          <w:szCs w:val="18"/>
          <w:color w:val="auto"/>
        </w:rPr>
        <w:t>” in the form of a personal loan to the director or executive officer. Questions about cashless exercises should be directed to the Compliance Officer.</w:t>
      </w:r>
    </w:p>
    <w:p>
      <w:pPr>
        <w:spacing w:after="0" w:line="174" w:lineRule="exact"/>
        <w:rPr>
          <w:rFonts w:ascii="Times New Roman" w:cs="Times New Roman" w:eastAsia="Times New Roman" w:hAnsi="Times New Roman"/>
          <w:sz w:val="18"/>
          <w:szCs w:val="18"/>
          <w:color w:val="auto"/>
        </w:rPr>
      </w:pPr>
    </w:p>
    <w:p>
      <w:pPr>
        <w:jc w:val="both"/>
        <w:ind w:firstLine="652"/>
        <w:spacing w:after="0" w:line="265" w:lineRule="auto"/>
        <w:tabs>
          <w:tab w:leader="none" w:pos="109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Internet Posting. </w:t>
      </w:r>
      <w:r>
        <w:rPr>
          <w:rFonts w:ascii="Times New Roman" w:cs="Times New Roman" w:eastAsia="Times New Roman" w:hAnsi="Times New Roman"/>
          <w:sz w:val="18"/>
          <w:szCs w:val="18"/>
          <w:color w:val="auto"/>
        </w:rPr>
        <w:t>This Policy also prohibits Covered Persons and their Family Members from making any comments or postings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on any Internet bulletin boards, via social media, chat rooms or websites, or responding to comments or postings about the Company’s business made by others. This restriction applies whether or not such persons identify themselves as associated with the Company.</w:t>
      </w:r>
    </w:p>
    <w:p>
      <w:pPr>
        <w:spacing w:after="0" w:line="174" w:lineRule="exact"/>
        <w:rPr>
          <w:rFonts w:ascii="Times New Roman" w:cs="Times New Roman" w:eastAsia="Times New Roman" w:hAnsi="Times New Roman"/>
          <w:sz w:val="18"/>
          <w:szCs w:val="18"/>
          <w:color w:val="auto"/>
        </w:rPr>
      </w:pPr>
    </w:p>
    <w:p>
      <w:pPr>
        <w:ind w:firstLine="652"/>
        <w:spacing w:after="0" w:line="282" w:lineRule="auto"/>
        <w:tabs>
          <w:tab w:leader="none" w:pos="11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Prohibitions. </w:t>
      </w:r>
      <w:r>
        <w:rPr>
          <w:rFonts w:ascii="Times New Roman" w:cs="Times New Roman" w:eastAsia="Times New Roman" w:hAnsi="Times New Roman"/>
          <w:sz w:val="18"/>
          <w:szCs w:val="18"/>
          <w:color w:val="auto"/>
        </w:rPr>
        <w:t>The Company may elect, from time to time, to institute special securities procedures with respect to certain staff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including, but not limited to, the Company’s board of directors, executive officers and senior management.</w:t>
      </w:r>
    </w:p>
    <w:p>
      <w:pPr>
        <w:spacing w:after="0" w:line="156"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Civil, Criminal and Disciplinary Sanctions.</w:t>
      </w:r>
    </w:p>
    <w:p>
      <w:pPr>
        <w:spacing w:after="0" w:line="224" w:lineRule="exact"/>
        <w:rPr>
          <w:rFonts w:ascii="Times New Roman" w:cs="Times New Roman" w:eastAsia="Times New Roman" w:hAnsi="Times New Roman"/>
          <w:sz w:val="18"/>
          <w:szCs w:val="18"/>
          <w:b w:val="1"/>
          <w:bCs w:val="1"/>
          <w:color w:val="auto"/>
        </w:rPr>
      </w:pPr>
    </w:p>
    <w:p>
      <w:pPr>
        <w:jc w:val="both"/>
        <w:ind w:firstLine="652"/>
        <w:spacing w:after="0" w:line="255" w:lineRule="auto"/>
        <w:tabs>
          <w:tab w:leader="none" w:pos="102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Civil and Criminal Penalties. </w:t>
      </w:r>
      <w:r>
        <w:rPr>
          <w:rFonts w:ascii="Times New Roman" w:cs="Times New Roman" w:eastAsia="Times New Roman" w:hAnsi="Times New Roman"/>
          <w:sz w:val="18"/>
          <w:szCs w:val="18"/>
          <w:color w:val="auto"/>
        </w:rPr>
        <w:t>The consequences of prohibited insider trading or tipping can be severe. Persons violating insider trading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tipping rules may be required to disgorge the profit made or the loss avoided by the trading, pay the loss suffered by the person who purchased securities from or sold securities to the insider tippee, pay civil penalties and serve a jail term. The Company and/or the supervisors of the person violating the rules may also be required to pay major civil or criminal penalties. “</w:t>
      </w:r>
      <w:r>
        <w:rPr>
          <w:rFonts w:ascii="Times New Roman" w:cs="Times New Roman" w:eastAsia="Times New Roman" w:hAnsi="Times New Roman"/>
          <w:sz w:val="18"/>
          <w:szCs w:val="18"/>
          <w:u w:val="single" w:color="auto"/>
          <w:color w:val="auto"/>
        </w:rPr>
        <w:t>Controlling persons</w:t>
      </w:r>
      <w:r>
        <w:rPr>
          <w:rFonts w:ascii="Times New Roman" w:cs="Times New Roman" w:eastAsia="Times New Roman" w:hAnsi="Times New Roman"/>
          <w:sz w:val="18"/>
          <w:szCs w:val="18"/>
          <w:color w:val="auto"/>
        </w:rPr>
        <w:t>” are also subject to significant civil penalties. Furthermore, a private action may be brought against a person who trades on inside information by any person who bought or sold before the inside information became public, not just the person from whom the securities were bought or sold.</w:t>
      </w:r>
    </w:p>
    <w:p>
      <w:pPr>
        <w:spacing w:after="0" w:line="185" w:lineRule="exact"/>
        <w:rPr>
          <w:rFonts w:ascii="Times New Roman" w:cs="Times New Roman" w:eastAsia="Times New Roman" w:hAnsi="Times New Roman"/>
          <w:sz w:val="18"/>
          <w:szCs w:val="18"/>
          <w:color w:val="auto"/>
        </w:rPr>
      </w:pPr>
    </w:p>
    <w:p>
      <w:pPr>
        <w:jc w:val="both"/>
        <w:ind w:firstLine="652"/>
        <w:spacing w:after="0" w:line="265" w:lineRule="auto"/>
        <w:tabs>
          <w:tab w:leader="none" w:pos="10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Discipline. </w:t>
      </w:r>
      <w:r>
        <w:rPr>
          <w:rFonts w:ascii="Times New Roman" w:cs="Times New Roman" w:eastAsia="Times New Roman" w:hAnsi="Times New Roman"/>
          <w:sz w:val="18"/>
          <w:szCs w:val="18"/>
          <w:color w:val="auto"/>
        </w:rPr>
        <w:t>Violation of this Policy or federal or state insider trading or tipping laws by any director, officer or employee,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family members, may subject the director to dismissal proceedings and the officer or employee to disciplinary action by the Company or its appropriate subsidiary up to and including termination for cause.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7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20" w:name="page121"/>
    <w:bookmarkEnd w:id="120"/>
    <w:p>
      <w:pPr>
        <w:jc w:val="both"/>
        <w:ind w:firstLine="652"/>
        <w:spacing w:after="0" w:line="257" w:lineRule="auto"/>
        <w:tabs>
          <w:tab w:leader="none" w:pos="96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of Violations. </w:t>
      </w:r>
      <w:r>
        <w:rPr>
          <w:rFonts w:ascii="Times New Roman" w:cs="Times New Roman" w:eastAsia="Times New Roman" w:hAnsi="Times New Roman"/>
          <w:sz w:val="18"/>
          <w:szCs w:val="18"/>
          <w:color w:val="auto"/>
        </w:rPr>
        <w:t>Any person who violates this Policy or any federal or state laws governing insider trading or tipping, or knows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violation by any other Covered Persons, must report the violation immediately to the Chief Executive Officer or Secretary of the Company. Upon learning of any such violation, the Chief Executive Officer or Secretary, in consultation with the Company’s legal counsel, will determine whether the Company should release any material nonpublic information, or whether the Company should report the violation to the SEC or other appropriate governmental authority.</w:t>
      </w:r>
    </w:p>
    <w:p>
      <w:pPr>
        <w:spacing w:after="0" w:line="17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7"/>
          <w:szCs w:val="17"/>
          <w:b w:val="1"/>
          <w:bCs w:val="1"/>
          <w:color w:val="auto"/>
        </w:rPr>
        <w:t>Rule 10b5-1 Trading Plans</w:t>
      </w:r>
    </w:p>
    <w:p>
      <w:pPr>
        <w:spacing w:after="0" w:line="224" w:lineRule="exact"/>
        <w:rPr>
          <w:rFonts w:ascii="Times New Roman" w:cs="Times New Roman" w:eastAsia="Times New Roman" w:hAnsi="Times New Roman"/>
          <w:sz w:val="18"/>
          <w:szCs w:val="18"/>
          <w:color w:val="auto"/>
        </w:rPr>
      </w:pPr>
    </w:p>
    <w:p>
      <w:pPr>
        <w:ind w:left="1180" w:hanging="528"/>
        <w:spacing w:after="0"/>
        <w:tabs>
          <w:tab w:leader="none" w:pos="11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Under Rule 10b5-1 of the Exchange Act, an individual has an affirmative defense against an allegation of insider trading if he or she demonstrates that the purchase, sale or trade in question took place pursuant to a binding contract, specific instruction or written plan that was put into place before he or she became aware of material nonpublic information. Such contracts, irrevocable instructions and plans are commonly referred to as Rule 10b5-1 plans.</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Rule 10b5-1 plans have the obvious advantage of protecting against insider trading liability. However, they also require advance commitments regarding the amounts, prices and timing of purchases or sales of Company securities and thus limit flexibility and discretion. In addition, once a Rule 10b5-1 plan has been adopted, it is generally not permissible to amend or modify such plan. Accordingly, while some individuals may find Rule 10b5- 1 plans attractive, they may not be suitable for all Insiders.</w:t>
      </w:r>
    </w:p>
    <w:p>
      <w:pPr>
        <w:spacing w:after="0" w:line="179" w:lineRule="exact"/>
        <w:rPr>
          <w:sz w:val="20"/>
          <w:szCs w:val="20"/>
          <w:color w:val="auto"/>
        </w:rPr>
      </w:pPr>
    </w:p>
    <w:p>
      <w:pPr>
        <w:ind w:left="1180" w:hanging="528"/>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Specific Requirements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firstLine="1297"/>
        <w:spacing w:after="0" w:line="264" w:lineRule="auto"/>
        <w:tabs>
          <w:tab w:leader="none" w:pos="192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Pre-Approval</w:t>
      </w:r>
      <w:r>
        <w:rPr>
          <w:rFonts w:ascii="Times New Roman" w:cs="Times New Roman" w:eastAsia="Times New Roman" w:hAnsi="Times New Roman"/>
          <w:sz w:val="18"/>
          <w:szCs w:val="18"/>
          <w:color w:val="auto"/>
        </w:rPr>
        <w:t>. For a Rule 10b5-1 plan to serve as an adequate defense against an allegation of insider trading, a number of legal requirements must be satisfied. Accordingly, anyone wishing to establish a Rule 10b5-1 plan must first receive approval from the Compliance Officer or his or her designee.</w:t>
      </w:r>
    </w:p>
    <w:p>
      <w:pPr>
        <w:spacing w:after="0" w:line="176" w:lineRule="exact"/>
        <w:rPr>
          <w:rFonts w:ascii="Times New Roman" w:cs="Times New Roman" w:eastAsia="Times New Roman" w:hAnsi="Times New Roman"/>
          <w:sz w:val="18"/>
          <w:szCs w:val="18"/>
          <w:color w:val="auto"/>
        </w:rPr>
      </w:pPr>
    </w:p>
    <w:p>
      <w:pPr>
        <w:ind w:right="20" w:firstLine="1297"/>
        <w:spacing w:after="0" w:line="280" w:lineRule="auto"/>
        <w:tabs>
          <w:tab w:leader="none" w:pos="18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 and Special Blackouts</w:t>
      </w:r>
      <w:r>
        <w:rPr>
          <w:rFonts w:ascii="Times New Roman" w:cs="Times New Roman" w:eastAsia="Times New Roman" w:hAnsi="Times New Roman"/>
          <w:sz w:val="18"/>
          <w:szCs w:val="18"/>
          <w:color w:val="auto"/>
        </w:rPr>
        <w:t>. An individual desiring to enter into a Rule 10b5-1 plan must enter into the plan at a time when he or she is not aware of any Material Nonpublic Information about the Company or otherwise subject to a special trading blackout.</w:t>
      </w:r>
    </w:p>
    <w:p>
      <w:pPr>
        <w:spacing w:after="0" w:line="161" w:lineRule="exact"/>
        <w:rPr>
          <w:rFonts w:ascii="Times New Roman" w:cs="Times New Roman" w:eastAsia="Times New Roman" w:hAnsi="Times New Roman"/>
          <w:sz w:val="18"/>
          <w:szCs w:val="18"/>
          <w:color w:val="auto"/>
        </w:rPr>
      </w:pPr>
    </w:p>
    <w:p>
      <w:pPr>
        <w:ind w:left="1880" w:hanging="583"/>
        <w:spacing w:after="0"/>
        <w:tabs>
          <w:tab w:leader="none" w:pos="188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Window</w:t>
      </w:r>
      <w:r>
        <w:rPr>
          <w:rFonts w:ascii="Times New Roman" w:cs="Times New Roman" w:eastAsia="Times New Roman" w:hAnsi="Times New Roman"/>
          <w:sz w:val="17"/>
          <w:szCs w:val="17"/>
          <w:color w:val="auto"/>
        </w:rPr>
        <w:t>. Section 16 Individuals and Key Employees may only establish a Rule 10b5-1 plan when the Company’s trading</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window is open.</w:t>
      </w:r>
    </w:p>
    <w:p>
      <w:pPr>
        <w:spacing w:after="0" w:line="204" w:lineRule="exact"/>
        <w:rPr>
          <w:rFonts w:ascii="Times New Roman" w:cs="Times New Roman" w:eastAsia="Times New Roman" w:hAnsi="Times New Roman"/>
          <w:sz w:val="17"/>
          <w:szCs w:val="17"/>
          <w:color w:val="auto"/>
        </w:rPr>
      </w:pPr>
    </w:p>
    <w:p>
      <w:pPr>
        <w:ind w:left="1940" w:hanging="643"/>
        <w:spacing w:after="0"/>
        <w:tabs>
          <w:tab w:leader="none" w:pos="19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Rule 10b5-1 plans must include a representation certifying, at the time of the adoption of a new or modified plan,</w:t>
      </w:r>
    </w:p>
    <w:p>
      <w:pPr>
        <w:spacing w:after="0" w:line="26" w:lineRule="exact"/>
        <w:rPr>
          <w:rFonts w:ascii="Times New Roman" w:cs="Times New Roman" w:eastAsia="Times New Roman" w:hAnsi="Times New Roman"/>
          <w:sz w:val="18"/>
          <w:szCs w:val="18"/>
          <w:color w:val="auto"/>
        </w:rPr>
      </w:pPr>
    </w:p>
    <w:p>
      <w:pPr>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the Section 16 Individual and/or Key Employee is not aware of Material Nonpublic Information about the Company or its securities; and (b) that they are adopting the plan in good faith and not as part of a plan or scheme to evade the prohibitions of Rule 10b-5.</w:t>
      </w:r>
    </w:p>
    <w:p>
      <w:pPr>
        <w:spacing w:after="0" w:line="181" w:lineRule="exact"/>
        <w:rPr>
          <w:rFonts w:ascii="Times New Roman" w:cs="Times New Roman" w:eastAsia="Times New Roman" w:hAnsi="Times New Roman"/>
          <w:sz w:val="18"/>
          <w:szCs w:val="18"/>
          <w:color w:val="auto"/>
        </w:rPr>
      </w:pPr>
    </w:p>
    <w:p>
      <w:pPr>
        <w:jc w:val="both"/>
        <w:ind w:firstLine="1297"/>
        <w:spacing w:after="0" w:line="218" w:lineRule="exact"/>
        <w:tabs>
          <w:tab w:leader="none" w:pos="191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Cooling-Off Period</w:t>
      </w:r>
      <w:r>
        <w:rPr>
          <w:rFonts w:ascii="Times New Roman" w:cs="Times New Roman" w:eastAsia="Times New Roman" w:hAnsi="Times New Roman"/>
          <w:sz w:val="18"/>
          <w:szCs w:val="18"/>
          <w:color w:val="auto"/>
        </w:rPr>
        <w:t>. Applicable rules provide that trading under a 10b5-1 plan adopted by an officer or director of the Company cannot begin until the later of: (a) 90 days after the adoption of the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plan; or (b) two business days following the disclosure of the Company’s financial results in a Form 10-Q or Form 10-K for the fiscal quarter in which the plan was adopted; provided that for officers and directors, there is a 120 day maximum required cooling-off period. For persons other than directors and officers there is a minimum 30-day cooling-off period following a Rule 10b5-1 plan’s adoption. A change in certain essential terms of a previously adopted 10b5-1 plan (e.g., a change in the amount, price, or timing of the purchase or sale of securities (including a change to a written formula or algorithm) constitutes a termination of such prior plan and the adoption of a new plan, triggering the same cooling-off period described above and the same notice and approval requirements set forth above.</w:t>
      </w:r>
    </w:p>
    <w:p>
      <w:pPr>
        <w:spacing w:after="0" w:line="1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8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1" w:name="page122"/>
    <w:bookmarkEnd w:id="121"/>
    <w:p>
      <w:pPr>
        <w:jc w:val="both"/>
        <w:ind w:firstLine="1297"/>
        <w:spacing w:after="0" w:line="264" w:lineRule="auto"/>
        <w:tabs>
          <w:tab w:leader="none" w:pos="193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Overlapping Plans</w:t>
      </w:r>
      <w:r>
        <w:rPr>
          <w:rFonts w:ascii="Times New Roman" w:cs="Times New Roman" w:eastAsia="Times New Roman" w:hAnsi="Times New Roman"/>
          <w:sz w:val="18"/>
          <w:szCs w:val="18"/>
          <w:color w:val="auto"/>
        </w:rPr>
        <w:t>. No Section 16 Individual or Key Employee shall have multiple or overlapping trading plans (i.e., plans allowing trades in the same period), or more than one single-trade plan in any 12 month period (with exceptions in both cases for sell-to-cover plans solely to satisfy tax withholding obligations on vesting of equity awards).</w:t>
      </w:r>
    </w:p>
    <w:p>
      <w:pPr>
        <w:spacing w:after="0" w:line="17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 and Rule 144 Reporting</w:t>
      </w:r>
    </w:p>
    <w:p>
      <w:pPr>
        <w:spacing w:after="0" w:line="2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16 of the Exchange Act requires Section 16 Individuals to file reports reflecting transactions in the Company’s equity securities (including</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derivatives and security-based swap agreements related to such securities). Section 16 also compels these persons to disgorge short-swing profits derived from trading activity within any six-month period.</w:t>
      </w:r>
    </w:p>
    <w:p>
      <w:pPr>
        <w:spacing w:after="0" w:line="179" w:lineRule="exact"/>
        <w:rPr>
          <w:sz w:val="20"/>
          <w:szCs w:val="20"/>
          <w:color w:val="auto"/>
        </w:rPr>
      </w:pPr>
    </w:p>
    <w:p>
      <w:pPr>
        <w:ind w:left="1300" w:hanging="486"/>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16 Reporting Obligations</w:t>
      </w:r>
    </w:p>
    <w:p>
      <w:pPr>
        <w:spacing w:after="0" w:line="25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Each person who is or becomes a Section 16 Individual must file reports concerning his or her beneficial ownership of the Company securities with the Securities and Exchange Commission and the Company. There are three types of forms that must be submitted on a timely basis to comply with Section 16 reporting requirements:</w:t>
      </w:r>
    </w:p>
    <w:p>
      <w:pPr>
        <w:spacing w:after="0" w:line="173" w:lineRule="exact"/>
        <w:rPr>
          <w:sz w:val="20"/>
          <w:szCs w:val="20"/>
          <w:color w:val="auto"/>
        </w:rPr>
      </w:pPr>
    </w:p>
    <w:p>
      <w:pPr>
        <w:jc w:val="both"/>
        <w:ind w:left="500" w:firstLine="959"/>
        <w:spacing w:after="0" w:line="261" w:lineRule="auto"/>
        <w:tabs>
          <w:tab w:leader="none" w:pos="2017"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 3 for First-Time Filers</w:t>
      </w:r>
      <w:r>
        <w:rPr>
          <w:rFonts w:ascii="Times New Roman" w:cs="Times New Roman" w:eastAsia="Times New Roman" w:hAnsi="Times New Roman"/>
          <w:sz w:val="18"/>
          <w:szCs w:val="18"/>
          <w:color w:val="auto"/>
        </w:rPr>
        <w:t>: This form must be filed within 10 calendar days after the event triggering the filing. Triggering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include becoming a director or reporting officer (whether or not such person owns any corporate securities), or any transaction that places an investor’s holdings in the corporation above 10 percent for the first time. Form 3 requires information as to the Section 16 Individual’s beneficial ownership of all classes of the Company’s equity securities, including options.</w:t>
      </w:r>
    </w:p>
    <w:p>
      <w:pPr>
        <w:spacing w:after="0" w:line="174" w:lineRule="exact"/>
        <w:rPr>
          <w:rFonts w:ascii="Times New Roman" w:cs="Times New Roman" w:eastAsia="Times New Roman" w:hAnsi="Times New Roman"/>
          <w:sz w:val="18"/>
          <w:szCs w:val="18"/>
          <w:b w:val="1"/>
          <w:bCs w:val="1"/>
          <w:i w:val="1"/>
          <w:iCs w:val="1"/>
          <w:color w:val="auto"/>
        </w:rPr>
      </w:pPr>
    </w:p>
    <w:p>
      <w:pPr>
        <w:jc w:val="both"/>
        <w:ind w:left="500" w:firstLine="959"/>
        <w:spacing w:after="0" w:line="267" w:lineRule="auto"/>
        <w:tabs>
          <w:tab w:leader="none" w:pos="2054"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 4 for Changes in Beneficial Ownership</w:t>
      </w:r>
      <w:r>
        <w:rPr>
          <w:rFonts w:ascii="Times New Roman" w:cs="Times New Roman" w:eastAsia="Times New Roman" w:hAnsi="Times New Roman"/>
          <w:sz w:val="18"/>
          <w:szCs w:val="18"/>
          <w:color w:val="auto"/>
        </w:rPr>
        <w:t>: This form is used to report changes in the Section 16 Individual’s ownership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It must be filed within two (2) business days after the transaction occurred. Directors and officers who cease to hold their positions must still report certain changes on Form 4 for up to six months after leaving their positions.</w:t>
      </w:r>
    </w:p>
    <w:p>
      <w:pPr>
        <w:spacing w:after="0" w:line="169" w:lineRule="exact"/>
        <w:rPr>
          <w:rFonts w:ascii="Times New Roman" w:cs="Times New Roman" w:eastAsia="Times New Roman" w:hAnsi="Times New Roman"/>
          <w:sz w:val="18"/>
          <w:szCs w:val="18"/>
          <w:b w:val="1"/>
          <w:bCs w:val="1"/>
          <w:i w:val="1"/>
          <w:iCs w:val="1"/>
          <w:color w:val="auto"/>
        </w:rPr>
      </w:pPr>
    </w:p>
    <w:p>
      <w:pPr>
        <w:jc w:val="both"/>
        <w:ind w:left="500" w:firstLine="959"/>
        <w:spacing w:after="0" w:line="267" w:lineRule="auto"/>
        <w:tabs>
          <w:tab w:leader="none" w:pos="1998"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 5 for Annual Reconciliation</w:t>
      </w:r>
      <w:r>
        <w:rPr>
          <w:rFonts w:ascii="Times New Roman" w:cs="Times New Roman" w:eastAsia="Times New Roman" w:hAnsi="Times New Roman"/>
          <w:sz w:val="18"/>
          <w:szCs w:val="18"/>
          <w:color w:val="auto"/>
        </w:rPr>
        <w:t>: The Form 5 is an annual report used to disclose certain exempt transactions not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on Form 4. It must be filed within 45 calendar days after the end of a corporation’s fiscal year. Many Section 16 Individuals customarily file a Form 4 for all transactions, whether or not exempt, which negates the requirement of filing a Form 5.</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 xml:space="preserve">It is the Company’s policy that the ultimate responsibility to prepare and timely file Forms 3, 4 and 5 rests with the Section 16 Individual, and </w:t>
      </w:r>
      <w:r>
        <w:rPr>
          <w:rFonts w:ascii="Times New Roman" w:cs="Times New Roman" w:eastAsia="Times New Roman" w:hAnsi="Times New Roman"/>
          <w:sz w:val="18"/>
          <w:szCs w:val="18"/>
          <w:b w:val="1"/>
          <w:bCs w:val="1"/>
          <w:color w:val="auto"/>
        </w:rPr>
        <w:t xml:space="preserve">NOT </w:t>
      </w:r>
      <w:r>
        <w:rPr>
          <w:rFonts w:ascii="Times New Roman" w:cs="Times New Roman" w:eastAsia="Times New Roman" w:hAnsi="Times New Roman"/>
          <w:sz w:val="18"/>
          <w:szCs w:val="18"/>
          <w:color w:val="auto"/>
        </w:rPr>
        <w:t>with the Company. As an accommodation to the Company’s Section 16 Individuals, it is the Company’s practice, upon request from a Section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to help prepare and file Forms 3, 4 and 5 for the Section 16 Individuals, and the Company may send each Section 16 Individual reminders or alerts from time to time. Each Section 16 Individual is obligated to promptly provide information to the office of the General Counsel concerning any change in his or her beneficial ownership of Company securities to ensure timely filing.</w:t>
      </w:r>
    </w:p>
    <w:p>
      <w:pPr>
        <w:spacing w:after="0" w:line="184" w:lineRule="exact"/>
        <w:rPr>
          <w:sz w:val="20"/>
          <w:szCs w:val="20"/>
          <w:color w:val="auto"/>
        </w:rPr>
      </w:pPr>
    </w:p>
    <w:p>
      <w:pPr>
        <w:ind w:left="1300" w:hanging="486"/>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Beneficial Ownership Covered by Section 16</w:t>
      </w:r>
    </w:p>
    <w:p>
      <w:pPr>
        <w:spacing w:after="0" w:line="252"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As noted above, transactions causing changes in a Section 16 Individual’s beneficial ownership are generally required to be reported on a Form 4. A wide range of transactions can trigger this reporting requirement, and Section 16 Individuals should therefore consider the following points:</w:t>
      </w:r>
    </w:p>
    <w:p>
      <w:pPr>
        <w:spacing w:after="0" w:line="162" w:lineRule="exact"/>
        <w:rPr>
          <w:sz w:val="20"/>
          <w:szCs w:val="20"/>
          <w:color w:val="auto"/>
        </w:rPr>
      </w:pPr>
    </w:p>
    <w:p>
      <w:pPr>
        <w:ind w:left="1920" w:hanging="461"/>
        <w:spacing w:after="0"/>
        <w:tabs>
          <w:tab w:leader="none" w:pos="1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Gifts of securities are required to be disclosed on Form 4s within two business days of the date of the gift.</w:t>
      </w:r>
    </w:p>
    <w:p>
      <w:pPr>
        <w:spacing w:after="0" w:line="222" w:lineRule="exact"/>
        <w:rPr>
          <w:rFonts w:ascii="Times New Roman" w:cs="Times New Roman" w:eastAsia="Times New Roman" w:hAnsi="Times New Roman"/>
          <w:sz w:val="18"/>
          <w:szCs w:val="18"/>
          <w:color w:val="auto"/>
        </w:rPr>
      </w:pPr>
    </w:p>
    <w:p>
      <w:pPr>
        <w:ind w:firstLine="1459"/>
        <w:spacing w:after="0" w:line="280" w:lineRule="auto"/>
        <w:tabs>
          <w:tab w:leader="none" w:pos="209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under Section 16 cover beneficial ownership, as opposed to mere record ownership, of Section 16 Individuals, and therefore include securities held by others for the Section 16 Individual’s benefit (regardless of how the securities are registered).</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9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2" w:name="page123"/>
    <w:bookmarkEnd w:id="122"/>
    <w:p>
      <w:pPr>
        <w:ind w:firstLine="1459"/>
        <w:spacing w:after="0" w:line="280" w:lineRule="auto"/>
        <w:tabs>
          <w:tab w:leader="none" w:pos="19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held by immediate family members living in a Section 16 Individual’s home are rebuttably presumed to be beneficially owned by the Section 16 Individual.</w:t>
      </w:r>
    </w:p>
    <w:p>
      <w:pPr>
        <w:spacing w:after="0" w:line="161" w:lineRule="exact"/>
        <w:rPr>
          <w:rFonts w:ascii="Times New Roman" w:cs="Times New Roman" w:eastAsia="Times New Roman" w:hAnsi="Times New Roman"/>
          <w:sz w:val="18"/>
          <w:szCs w:val="18"/>
          <w:color w:val="auto"/>
        </w:rPr>
      </w:pPr>
    </w:p>
    <w:p>
      <w:pPr>
        <w:jc w:val="both"/>
        <w:ind w:firstLine="1459"/>
        <w:spacing w:after="0" w:line="259" w:lineRule="auto"/>
        <w:tabs>
          <w:tab w:leader="none" w:pos="201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Section 16 Individual may in certain circumstances be presumed to beneficially own Company securities held in trust. This ownership may include trusts (including living or family trusts) in which the Section 16 Individual is a settlor or has or shares investment control. In addition, trusts in which the Section 16 Individual, or his or her immediate family member (whether or not living in the reporting officer’s or director’s home), is a beneficiary are subject to particularly complex reporting requirements.</w:t>
      </w:r>
    </w:p>
    <w:p>
      <w:pPr>
        <w:spacing w:after="0" w:line="177" w:lineRule="exact"/>
        <w:rPr>
          <w:rFonts w:ascii="Times New Roman" w:cs="Times New Roman" w:eastAsia="Times New Roman" w:hAnsi="Times New Roman"/>
          <w:sz w:val="18"/>
          <w:szCs w:val="18"/>
          <w:color w:val="auto"/>
        </w:rPr>
      </w:pPr>
    </w:p>
    <w:p>
      <w:pPr>
        <w:jc w:val="both"/>
        <w:ind w:firstLine="1459"/>
        <w:spacing w:after="0" w:line="267" w:lineRule="auto"/>
        <w:tabs>
          <w:tab w:leader="none" w:pos="19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concept of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for Section 16 purposes includes derivative securities (such as certain deferred stock units, options, stock appreciation rights and other rights with an exercise or conversion privilege at a price related to an equity security) as well as security-based swap agreements.</w:t>
      </w:r>
    </w:p>
    <w:p>
      <w:pPr>
        <w:spacing w:after="0" w:line="171" w:lineRule="exact"/>
        <w:rPr>
          <w:rFonts w:ascii="Times New Roman" w:cs="Times New Roman" w:eastAsia="Times New Roman" w:hAnsi="Times New Roman"/>
          <w:sz w:val="18"/>
          <w:szCs w:val="18"/>
          <w:color w:val="auto"/>
        </w:rPr>
      </w:pPr>
    </w:p>
    <w:p>
      <w:pPr>
        <w:ind w:left="960" w:hanging="308"/>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Requirements on Resales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Securities</w:t>
      </w:r>
    </w:p>
    <w:p>
      <w:pPr>
        <w:spacing w:after="0" w:line="221" w:lineRule="exact"/>
        <w:rPr>
          <w:sz w:val="20"/>
          <w:szCs w:val="20"/>
          <w:color w:val="auto"/>
        </w:rPr>
      </w:pPr>
    </w:p>
    <w:p>
      <w:pPr>
        <w:jc w:val="both"/>
        <w:ind w:firstLine="645"/>
        <w:spacing w:after="0"/>
        <w:rPr>
          <w:sz w:val="20"/>
          <w:szCs w:val="20"/>
          <w:color w:val="auto"/>
        </w:rPr>
      </w:pPr>
      <w:r>
        <w:rPr>
          <w:rFonts w:ascii="Times New Roman" w:cs="Times New Roman" w:eastAsia="Times New Roman" w:hAnsi="Times New Roman"/>
          <w:sz w:val="18"/>
          <w:szCs w:val="18"/>
          <w:color w:val="auto"/>
        </w:rPr>
        <w:t>Under the Securities Act of 1933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Section 16 Individuals and others who are affiliates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the Company who wish to sell Company securities generally must comply with the requirements of Rule 144 or be forced to register them under the Securities Act.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under Rule 144 (unlike under Section 16) are broadly defined to include all securities, not just equity securities. Therefore, the Rule 144 requirements apply not only to common and preferred stock, but also to bonds, debentures and any other form of security. Also, the safe harbor afforded by this rule is available whether or not the securities to be resold were previously registered under the Securities Act (except that the minimum holding period required to satisfy the safe harbor shall apply only to securities which were not registered under the Securities Act). The limitation/restriction on sales under Rule 144 generally applies to all non-registered securities (but also generally includes securities registered on a Form S-8 registration statement, absent a reoffer prospectus) held by directors and certain officers who are affiliates and also applies to all securities acquired by such persons in the open market, even if such securities were free-trading when acquired.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relevant provisions of Rule 144 as they apply to resales by Section 16 Individuals seeking to take advantage of the safe harbor are as follows:</w:t>
      </w:r>
    </w:p>
    <w:p>
      <w:pPr>
        <w:spacing w:after="0" w:line="219" w:lineRule="exact"/>
        <w:rPr>
          <w:sz w:val="20"/>
          <w:szCs w:val="20"/>
          <w:color w:val="auto"/>
        </w:rPr>
      </w:pPr>
    </w:p>
    <w:p>
      <w:pPr>
        <w:jc w:val="both"/>
        <w:ind w:firstLine="652"/>
        <w:spacing w:after="0" w:line="267" w:lineRule="auto"/>
        <w:tabs>
          <w:tab w:leader="none" w:pos="129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public information</w:t>
      </w:r>
      <w:r>
        <w:rPr>
          <w:rFonts w:ascii="Times New Roman" w:cs="Times New Roman" w:eastAsia="Times New Roman" w:hAnsi="Times New Roman"/>
          <w:sz w:val="18"/>
          <w:szCs w:val="18"/>
          <w:color w:val="auto"/>
        </w:rPr>
        <w:t>. There must be adequate current public information available regarding the Company. This requirement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satisfied only if the Company has (a) filed all reports required by the Exchange Act and (b) submitted all required Interactive Data Files to the SEC during the twelve months preceding the sale.</w:t>
      </w:r>
    </w:p>
    <w:p>
      <w:pPr>
        <w:spacing w:after="0" w:line="169" w:lineRule="exact"/>
        <w:rPr>
          <w:rFonts w:ascii="Times New Roman" w:cs="Times New Roman" w:eastAsia="Times New Roman" w:hAnsi="Times New Roman"/>
          <w:sz w:val="18"/>
          <w:szCs w:val="18"/>
          <w:b w:val="1"/>
          <w:bCs w:val="1"/>
          <w:color w:val="auto"/>
        </w:rPr>
      </w:pPr>
    </w:p>
    <w:p>
      <w:pPr>
        <w:jc w:val="both"/>
        <w:ind w:firstLine="652"/>
        <w:spacing w:after="0" w:line="261" w:lineRule="auto"/>
        <w:tabs>
          <w:tab w:leader="none" w:pos="123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Manner of sale</w:t>
      </w:r>
      <w:r>
        <w:rPr>
          <w:rFonts w:ascii="Times New Roman" w:cs="Times New Roman" w:eastAsia="Times New Roman" w:hAnsi="Times New Roman"/>
          <w:sz w:val="18"/>
          <w:szCs w:val="18"/>
          <w:color w:val="auto"/>
        </w:rPr>
        <w:t>. The sale of Company shares by a Section 16 Individual must be made in an open market transaction through a broker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prevailing market price for no more than the usual and customary brokerage commission (or to a market maker at the price held out by the market maker). Furthermore, the broker may not solicit or arrange for the solicitation of customers to purchase the shares. In addition, your broker likely has its own Rule 144 procedures (and must be involved in transmitting Form 144 (see item 4 below)), so it is important to speak with your broker prior to any sale.</w:t>
      </w:r>
    </w:p>
    <w:p>
      <w:pPr>
        <w:spacing w:after="0" w:line="179"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Even if your stock certificates do not contain any restrictive legends, you should inform your broker that you may be considered an affiliate and control person of the Company.</w:t>
      </w:r>
    </w:p>
    <w:p>
      <w:pPr>
        <w:spacing w:after="0" w:line="158" w:lineRule="exact"/>
        <w:rPr>
          <w:sz w:val="20"/>
          <w:szCs w:val="20"/>
          <w:color w:val="auto"/>
        </w:rPr>
      </w:pPr>
    </w:p>
    <w:p>
      <w:pPr>
        <w:ind w:left="1200" w:hanging="548"/>
        <w:spacing w:after="0"/>
        <w:tabs>
          <w:tab w:leader="none" w:pos="12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which may be sold</w:t>
      </w:r>
      <w:r>
        <w:rPr>
          <w:rFonts w:ascii="Times New Roman" w:cs="Times New Roman" w:eastAsia="Times New Roman" w:hAnsi="Times New Roman"/>
          <w:sz w:val="18"/>
          <w:szCs w:val="18"/>
          <w:color w:val="auto"/>
        </w:rPr>
        <w:t>. The amount of securities that a Section 16 Individual may sell in a three-month period is limited to</w:t>
      </w:r>
    </w:p>
    <w:p>
      <w:pPr>
        <w:spacing w:after="0" w:line="3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greater of:</w:t>
      </w:r>
    </w:p>
    <w:p>
      <w:pPr>
        <w:spacing w:after="0" w:line="204" w:lineRule="exact"/>
        <w:rPr>
          <w:rFonts w:ascii="Times New Roman" w:cs="Times New Roman" w:eastAsia="Times New Roman" w:hAnsi="Times New Roman"/>
          <w:sz w:val="18"/>
          <w:szCs w:val="18"/>
          <w:b w:val="1"/>
          <w:bCs w:val="1"/>
          <w:color w:val="auto"/>
        </w:rPr>
      </w:pPr>
    </w:p>
    <w:p>
      <w:pPr>
        <w:ind w:left="1820" w:hanging="523"/>
        <w:spacing w:after="0"/>
        <w:tabs>
          <w:tab w:leader="none" w:pos="18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outstanding shares of the same class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69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320" w:lineRule="exact"/>
        <w:rPr>
          <w:sz w:val="20"/>
          <w:szCs w:val="20"/>
          <w:color w:val="auto"/>
        </w:rPr>
      </w:pPr>
    </w:p>
    <w:p>
      <w:pPr>
        <w:jc w:val="both"/>
        <w:ind w:firstLine="7"/>
        <w:spacing w:after="0" w:line="221" w:lineRule="auto"/>
        <w:tabs>
          <w:tab w:leader="none" w:pos="112" w:val="left"/>
        </w:tabs>
        <w:numPr>
          <w:ilvl w:val="0"/>
          <w:numId w:val="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Rule 144 under the Securities Act defines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of an issuer as “</w:t>
      </w:r>
      <w:r>
        <w:rPr>
          <w:rFonts w:ascii="Times New Roman" w:cs="Times New Roman" w:eastAsia="Times New Roman" w:hAnsi="Times New Roman"/>
          <w:sz w:val="18"/>
          <w:szCs w:val="18"/>
          <w:u w:val="single" w:color="auto"/>
          <w:color w:val="auto"/>
        </w:rPr>
        <w:t>a person that directly, or indirectly through one or more intermediaries, controls, or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controlled by, or is under common control with, such issuer</w:t>
      </w:r>
      <w:r>
        <w:rPr>
          <w:rFonts w:ascii="Times New Roman" w:cs="Times New Roman" w:eastAsia="Times New Roman" w:hAnsi="Times New Roman"/>
          <w:sz w:val="18"/>
          <w:szCs w:val="18"/>
          <w:color w:val="auto"/>
        </w:rPr>
        <w:t>.” Further, Rule 144 covers not only current affiliates but those who have been an affiliate within the last three months.</w:t>
      </w:r>
    </w:p>
    <w:p>
      <w:pPr>
        <w:spacing w:after="0" w:line="1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10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3" w:name="page124"/>
    <w:bookmarkEnd w:id="123"/>
    <w:p>
      <w:pPr>
        <w:ind w:left="1300" w:right="20" w:hanging="3"/>
        <w:spacing w:after="0" w:line="280" w:lineRule="auto"/>
        <w:tabs>
          <w:tab w:leader="none" w:pos="188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on all national securities exchanges and/or reported through the automated quotation system of a registered securities association in the four calendar weeks preceding the filing of a notice on Form 144.</w:t>
      </w:r>
    </w:p>
    <w:p>
      <w:pPr>
        <w:spacing w:after="0" w:line="157" w:lineRule="exact"/>
        <w:rPr>
          <w:rFonts w:ascii="Times New Roman" w:cs="Times New Roman" w:eastAsia="Times New Roman" w:hAnsi="Times New Roman"/>
          <w:sz w:val="18"/>
          <w:szCs w:val="18"/>
          <w:color w:val="auto"/>
        </w:rPr>
      </w:pPr>
    </w:p>
    <w:p>
      <w:pPr>
        <w:jc w:val="both"/>
        <w:ind w:firstLine="652"/>
        <w:spacing w:after="0" w:line="267" w:lineRule="auto"/>
        <w:tabs>
          <w:tab w:leader="none" w:pos="120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proposed sale</w:t>
      </w:r>
      <w:r>
        <w:rPr>
          <w:rFonts w:ascii="Times New Roman" w:cs="Times New Roman" w:eastAsia="Times New Roman" w:hAnsi="Times New Roman"/>
          <w:sz w:val="18"/>
          <w:szCs w:val="18"/>
          <w:color w:val="auto"/>
        </w:rPr>
        <w:t>. If the amount of securities proposed to be sold by a Section 16 Individual during any three-month period exceeds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5,000 shares or has an aggregate sale price in excess of $50,000, the Section 16 Individual </w:t>
      </w:r>
      <w:r>
        <w:rPr>
          <w:rFonts w:ascii="Times New Roman" w:cs="Times New Roman" w:eastAsia="Times New Roman" w:hAnsi="Times New Roman"/>
          <w:sz w:val="18"/>
          <w:szCs w:val="18"/>
          <w:u w:val="single" w:color="auto"/>
          <w:color w:val="auto"/>
        </w:rPr>
        <w:t>must</w:t>
      </w:r>
      <w:r>
        <w:rPr>
          <w:rFonts w:ascii="Times New Roman" w:cs="Times New Roman" w:eastAsia="Times New Roman" w:hAnsi="Times New Roman"/>
          <w:sz w:val="18"/>
          <w:szCs w:val="18"/>
          <w:color w:val="auto"/>
        </w:rPr>
        <w:t xml:space="preserve"> file a notice of sale with the SEC on Form 144 prior to, or concurrently with, the placing of the order to sell securities.</w:t>
      </w:r>
    </w:p>
    <w:p>
      <w:pPr>
        <w:spacing w:after="0" w:line="169" w:lineRule="exact"/>
        <w:rPr>
          <w:rFonts w:ascii="Times New Roman" w:cs="Times New Roman" w:eastAsia="Times New Roman" w:hAnsi="Times New Roman"/>
          <w:sz w:val="18"/>
          <w:szCs w:val="18"/>
          <w:b w:val="1"/>
          <w:bCs w:val="1"/>
          <w:color w:val="auto"/>
        </w:rPr>
      </w:pPr>
    </w:p>
    <w:p>
      <w:pPr>
        <w:jc w:val="both"/>
        <w:ind w:firstLine="652"/>
        <w:spacing w:after="0" w:line="261" w:lineRule="auto"/>
        <w:tabs>
          <w:tab w:leader="none" w:pos="117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Holding Periods</w:t>
      </w:r>
      <w:r>
        <w:rPr>
          <w:rFonts w:ascii="Times New Roman" w:cs="Times New Roman" w:eastAsia="Times New Roman" w:hAnsi="Times New Roman"/>
          <w:sz w:val="18"/>
          <w:szCs w:val="18"/>
          <w:color w:val="auto"/>
        </w:rPr>
        <w:t>. Any securities of the Company acquired directly or indirectly from the Company in a transaction that was not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under the Securities Act (restricted securities) must be held for six months prior to reselling such securities (assuming the Company remains current in its reporting requirements). There is no statutory minimum holding period for securities which were registered under the Securities Act or acquired in an open-market transaction.</w:t>
      </w:r>
    </w:p>
    <w:p>
      <w:pPr>
        <w:spacing w:after="0" w:line="179"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In certain situations (e.g., securities acquired through stock dividends, splits or conversions), “</w:t>
      </w:r>
      <w:r>
        <w:rPr>
          <w:rFonts w:ascii="Times New Roman" w:cs="Times New Roman" w:eastAsia="Times New Roman" w:hAnsi="Times New Roman"/>
          <w:sz w:val="18"/>
          <w:szCs w:val="18"/>
          <w:u w:val="single" w:color="auto"/>
          <w:color w:val="auto"/>
        </w:rPr>
        <w:t>tacking</w:t>
      </w:r>
      <w:r>
        <w:rPr>
          <w:rFonts w:ascii="Times New Roman" w:cs="Times New Roman" w:eastAsia="Times New Roman" w:hAnsi="Times New Roman"/>
          <w:sz w:val="18"/>
          <w:szCs w:val="18"/>
          <w:color w:val="auto"/>
        </w:rPr>
        <w:t>” is permitted, that is, the new securities will be deemed to have been acquired at the same time as the original securities.</w:t>
      </w:r>
    </w:p>
    <w:p>
      <w:pPr>
        <w:spacing w:after="0" w:line="158" w:lineRule="exact"/>
        <w:rPr>
          <w:sz w:val="20"/>
          <w:szCs w:val="20"/>
          <w:color w:val="auto"/>
        </w:rPr>
      </w:pPr>
    </w:p>
    <w:p>
      <w:pPr>
        <w:ind w:left="660" w:hanging="653"/>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Policy Terms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2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May not trade</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Blackout Periods -</w:t>
            </w: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Reporting -</w:t>
            </w:r>
          </w:p>
        </w:tc>
        <w:tc>
          <w:tcPr>
            <w:tcW w:w="0" w:type="dxa"/>
            <w:vAlign w:val="bottom"/>
          </w:tcPr>
          <w:p>
            <w:pPr>
              <w:spacing w:after="0"/>
              <w:rPr>
                <w:sz w:val="1"/>
                <w:szCs w:val="1"/>
                <w:color w:val="auto"/>
              </w:rPr>
            </w:pPr>
          </w:p>
        </w:tc>
      </w:tr>
      <w:tr>
        <w:trPr>
          <w:trHeight w:val="107"/>
        </w:trPr>
        <w:tc>
          <w:tcPr>
            <w:tcW w:w="4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when in possession</w:t>
            </w:r>
          </w:p>
        </w:tc>
        <w:tc>
          <w:tcPr>
            <w:tcW w:w="17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not trade</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Must publicly report</w:t>
            </w:r>
          </w:p>
        </w:tc>
        <w:tc>
          <w:tcPr>
            <w:tcW w:w="0" w:type="dxa"/>
            <w:vAlign w:val="bottom"/>
          </w:tcPr>
          <w:p>
            <w:pPr>
              <w:spacing w:after="0"/>
              <w:rPr>
                <w:sz w:val="1"/>
                <w:szCs w:val="1"/>
                <w:color w:val="auto"/>
              </w:rPr>
            </w:pPr>
          </w:p>
        </w:tc>
      </w:tr>
      <w:tr>
        <w:trPr>
          <w:trHeight w:val="107"/>
        </w:trPr>
        <w:tc>
          <w:tcPr>
            <w:tcW w:w="4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of Material</w:t>
            </w:r>
          </w:p>
        </w:tc>
        <w:tc>
          <w:tcPr>
            <w:tcW w:w="17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during blackout</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 transactions (on</w:t>
            </w:r>
          </w:p>
        </w:tc>
        <w:tc>
          <w:tcPr>
            <w:tcW w:w="0" w:type="dxa"/>
            <w:vAlign w:val="bottom"/>
          </w:tcPr>
          <w:p>
            <w:pPr>
              <w:spacing w:after="0"/>
              <w:rPr>
                <w:sz w:val="1"/>
                <w:szCs w:val="1"/>
                <w:color w:val="auto"/>
              </w:rPr>
            </w:pPr>
          </w:p>
        </w:tc>
      </w:tr>
      <w:tr>
        <w:trPr>
          <w:trHeight w:val="107"/>
        </w:trPr>
        <w:tc>
          <w:tcPr>
            <w:tcW w:w="4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Nonpublic</w:t>
            </w:r>
          </w:p>
        </w:tc>
        <w:tc>
          <w:tcPr>
            <w:tcW w:w="17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4)</w:t>
            </w:r>
          </w:p>
        </w:tc>
        <w:tc>
          <w:tcPr>
            <w:tcW w:w="0" w:type="dxa"/>
            <w:vAlign w:val="bottom"/>
          </w:tcPr>
          <w:p>
            <w:pPr>
              <w:spacing w:after="0"/>
              <w:rPr>
                <w:sz w:val="1"/>
                <w:szCs w:val="1"/>
                <w:color w:val="auto"/>
              </w:rPr>
            </w:pPr>
          </w:p>
        </w:tc>
      </w:tr>
      <w:tr>
        <w:trPr>
          <w:trHeight w:val="130"/>
        </w:trPr>
        <w:tc>
          <w:tcPr>
            <w:tcW w:w="44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176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420" w:type="dxa"/>
            <w:vAlign w:val="bottom"/>
            <w:tcBorders>
              <w:top w:val="single" w:sz="8" w:color="auto"/>
              <w:bottom w:val="single" w:sz="8" w:color="auto"/>
              <w:right w:val="single" w:sz="8" w:color="auto"/>
            </w:tcBorders>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auto"/>
              </w:rPr>
              <w:t>Section 16 Individuals</w:t>
            </w:r>
          </w:p>
        </w:tc>
        <w:tc>
          <w:tcPr>
            <w:tcW w:w="1760" w:type="dxa"/>
            <w:vAlign w:val="bottom"/>
            <w:tcBorders>
              <w:top w:val="single" w:sz="8" w:color="CCEEFF"/>
              <w:bottom w:val="single" w:sz="8" w:color="auto"/>
              <w:right w:val="single" w:sz="8" w:color="auto"/>
            </w:tcBorders>
            <w:shd w:val="clear" w:color="auto" w:fill="CCEEFF"/>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Key Employees</w:t>
            </w:r>
          </w:p>
        </w:tc>
        <w:tc>
          <w:tcPr>
            <w:tcW w:w="1760" w:type="dxa"/>
            <w:vAlign w:val="bottom"/>
            <w:tcBorders>
              <w:bottom w:val="single" w:sz="8" w:color="auto"/>
              <w:right w:val="single" w:sz="8" w:color="auto"/>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Covered Persons</w:t>
            </w:r>
          </w:p>
        </w:tc>
        <w:tc>
          <w:tcPr>
            <w:tcW w:w="1760" w:type="dxa"/>
            <w:vAlign w:val="bottom"/>
            <w:tcBorders>
              <w:bottom w:val="single" w:sz="8" w:color="auto"/>
              <w:right w:val="single" w:sz="8" w:color="auto"/>
            </w:tcBorders>
            <w:shd w:val="clear" w:color="auto" w:fill="CCEEFF"/>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8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w:t>
            </w:r>
          </w:p>
        </w:tc>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Compliance Officer</w:t>
            </w: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The Company has designated its Chief Executive Officer as the individual responsible for administration of this Policy, but may designate another person or person in the future (as applicable, the “</w:t>
      </w:r>
      <w:r>
        <w:rPr>
          <w:rFonts w:ascii="Times New Roman" w:cs="Times New Roman" w:eastAsia="Times New Roman" w:hAnsi="Times New Roman"/>
          <w:sz w:val="18"/>
          <w:szCs w:val="18"/>
          <w:b w:val="1"/>
          <w:bCs w:val="1"/>
          <w:u w:val="single" w:color="auto"/>
          <w:color w:val="auto"/>
        </w:rPr>
        <w:t>Compliance Officer</w:t>
      </w:r>
      <w:r>
        <w:rPr>
          <w:rFonts w:ascii="Times New Roman" w:cs="Times New Roman" w:eastAsia="Times New Roman" w:hAnsi="Times New Roman"/>
          <w:sz w:val="18"/>
          <w:szCs w:val="18"/>
          <w:color w:val="auto"/>
        </w:rPr>
        <w:t>”). The duties of the Compliance Officer include the following:</w:t>
      </w:r>
    </w:p>
    <w:p>
      <w:pPr>
        <w:spacing w:after="0" w:line="162" w:lineRule="exact"/>
        <w:rPr>
          <w:sz w:val="20"/>
          <w:szCs w:val="20"/>
          <w:color w:val="auto"/>
        </w:rPr>
      </w:pPr>
    </w:p>
    <w:p>
      <w:pPr>
        <w:ind w:left="660" w:hanging="330"/>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this Policy and monitoring and enforcing compliance with all Policy provisions and procedures.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all inquiries relating to this Policy.</w:t>
      </w:r>
    </w:p>
    <w:p>
      <w:pPr>
        <w:spacing w:after="0" w:line="218" w:lineRule="exact"/>
        <w:rPr>
          <w:rFonts w:ascii="Times New Roman" w:cs="Times New Roman" w:eastAsia="Times New Roman" w:hAnsi="Times New Roman"/>
          <w:sz w:val="18"/>
          <w:szCs w:val="18"/>
          <w:color w:val="auto"/>
        </w:rPr>
      </w:pPr>
    </w:p>
    <w:p>
      <w:pPr>
        <w:ind w:left="660" w:hanging="330"/>
        <w:spacing w:after="0" w:line="284"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Reviewing and either approving or denying all proposed trades by Section 16 Individuals in accordance with the procedures set forth in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H(12) </w:t>
      </w:r>
      <w:r>
        <w:rPr>
          <w:rFonts w:ascii="Times New Roman" w:cs="Times New Roman" w:eastAsia="Times New Roman" w:hAnsi="Times New Roman"/>
          <w:sz w:val="18"/>
          <w:szCs w:val="18"/>
          <w:color w:val="auto"/>
        </w:rPr>
        <w:t>above, to the extent deemed necessary by the Compliance Officer, in consultation with the Company’s legal counsel.</w:t>
      </w:r>
    </w:p>
    <w:p>
      <w:pPr>
        <w:spacing w:after="0" w:line="159"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discussing with the Board of Directors and/or the Company’s legal counsel, designating and announcing special trading blackout periods during which certain Covered Persons may not trade in Company securities.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copies of this Policy and other appropriate materials to all new Covered Persons.</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11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4" w:name="page125"/>
    <w:bookmarkEnd w:id="124"/>
    <w:p>
      <w:pPr>
        <w:ind w:left="660" w:hanging="330"/>
        <w:spacing w:after="0"/>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Compiling acknowledgments as required hereby from Section 16 Individuals and Key Employees.</w:t>
      </w:r>
    </w:p>
    <w:p>
      <w:pPr>
        <w:spacing w:after="0" w:line="222"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Officer may designate one or more individuals who may perform the Compliance Officer’s duties in the event that the Compliance Officer is unable or unavailable to perform such duties.</w:t>
      </w:r>
    </w:p>
    <w:p>
      <w:pPr>
        <w:spacing w:after="0" w:line="157"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Responsibility.</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Every Covered Person has the individual responsibility to comply with this Policy against insider trading, regardless of whether a transaction is executed outside a Blackout Period or is pre-cleared by the Company. The restrictions and procedures are intended to help avoid inadvertent instances of improper insider trading, but appropriate judgment should always be exercised by each Covered Person in connection with any trade in the Company’s securities.</w:t>
      </w:r>
    </w:p>
    <w:p>
      <w:pPr>
        <w:spacing w:after="0" w:line="1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 Covered Person may, from time to time, have to forego a proposed transaction in the Company’s securities even if he or she planned to make the transaction before learning of the Material Nonpublic Information and even though the Covered Person believes he or she may suffer an economic loss or forego anticipated profit by waiting.</w:t>
      </w:r>
    </w:p>
    <w:p>
      <w:pPr>
        <w:spacing w:after="0" w:line="173" w:lineRule="exact"/>
        <w:rPr>
          <w:sz w:val="20"/>
          <w:szCs w:val="20"/>
          <w:color w:val="auto"/>
        </w:rPr>
      </w:pPr>
    </w:p>
    <w:p>
      <w:pPr>
        <w:ind w:left="660" w:hanging="653"/>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The Company</w:t>
      </w:r>
    </w:p>
    <w:p>
      <w:pPr>
        <w:spacing w:after="0" w:line="227"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The adoption, maintenance and enforcement of this Policy is not intended to result in the imposition of liability upon the Company for any insider trading violations where such liability would not exist in the absence of this Policy.</w:t>
      </w:r>
    </w:p>
    <w:p>
      <w:pPr>
        <w:spacing w:after="0" w:line="158" w:lineRule="exact"/>
        <w:rPr>
          <w:sz w:val="20"/>
          <w:szCs w:val="20"/>
          <w:color w:val="auto"/>
        </w:rPr>
      </w:pPr>
    </w:p>
    <w:p>
      <w:pPr>
        <w:ind w:left="660" w:hanging="653"/>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3"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This Policy will be delivered to Covered Persons upon its adoption by the Company and to all new Covered Persons at the start of their employment or relationship with the Company.</w:t>
      </w:r>
    </w:p>
    <w:p>
      <w:pPr>
        <w:spacing w:after="0" w:line="155"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Upon first receiving a copy of this Policy or any revised versions, each Section 16 Individual and Key Employee must sign an acknowledgment that he or she has received a copy of this Policy and agrees to comply with its terms in the form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hereto.</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U.S. Energy Corp.</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Policy on Insider Trading</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Adopted August 6, 2024</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12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RECEIPT AND ACKNOWLEDGMENT</w:t>
      </w:r>
    </w:p>
    <w:p>
      <w:pPr>
        <w:spacing w:after="0" w:line="200" w:lineRule="exact"/>
        <w:rPr>
          <w:sz w:val="20"/>
          <w:szCs w:val="20"/>
          <w:color w:val="auto"/>
        </w:rPr>
      </w:pPr>
    </w:p>
    <w:p>
      <w:pPr>
        <w:spacing w:after="0" w:line="24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Upon first receiving a copy of U.S. Energy Corp. Insider Trading Policy or any revised version thereof, each member of the Board of Directors, each officer designated under the Policy as a “</w:t>
      </w:r>
      <w:r>
        <w:rPr>
          <w:rFonts w:ascii="Times New Roman" w:cs="Times New Roman" w:eastAsia="Times New Roman" w:hAnsi="Times New Roman"/>
          <w:sz w:val="18"/>
          <w:szCs w:val="18"/>
          <w:b w:val="1"/>
          <w:bCs w:val="1"/>
          <w:u w:val="single" w:color="auto"/>
          <w:color w:val="auto"/>
        </w:rPr>
        <w:t>Section 16 Individual</w:t>
      </w:r>
      <w:r>
        <w:rPr>
          <w:rFonts w:ascii="Times New Roman" w:cs="Times New Roman" w:eastAsia="Times New Roman" w:hAnsi="Times New Roman"/>
          <w:sz w:val="18"/>
          <w:szCs w:val="18"/>
          <w:color w:val="auto"/>
        </w:rPr>
        <w:t>” and each individual meeting the definition of “</w:t>
      </w:r>
      <w:r>
        <w:rPr>
          <w:rFonts w:ascii="Times New Roman" w:cs="Times New Roman" w:eastAsia="Times New Roman" w:hAnsi="Times New Roman"/>
          <w:sz w:val="18"/>
          <w:szCs w:val="18"/>
          <w:b w:val="1"/>
          <w:bCs w:val="1"/>
          <w:u w:val="single" w:color="auto"/>
          <w:color w:val="auto"/>
        </w:rPr>
        <w:t>Key Employee</w:t>
      </w:r>
      <w:r>
        <w:rPr>
          <w:rFonts w:ascii="Times New Roman" w:cs="Times New Roman" w:eastAsia="Times New Roman" w:hAnsi="Times New Roman"/>
          <w:sz w:val="18"/>
          <w:szCs w:val="18"/>
          <w:color w:val="auto"/>
        </w:rPr>
        <w:t>” thereunder must sign and return to the Chief Executive Officer, the following receipt and acknowledgement.</w:t>
      </w:r>
    </w:p>
    <w:p>
      <w:pPr>
        <w:spacing w:after="0" w:line="173" w:lineRule="exact"/>
        <w:rPr>
          <w:sz w:val="20"/>
          <w:szCs w:val="20"/>
          <w:color w:val="auto"/>
        </w:rPr>
      </w:pPr>
    </w:p>
    <w:p>
      <w:pPr>
        <w:jc w:val="both"/>
        <w:ind w:firstLine="645"/>
        <w:spacing w:after="0" w:line="284" w:lineRule="auto"/>
        <w:rPr>
          <w:sz w:val="20"/>
          <w:szCs w:val="20"/>
          <w:color w:val="auto"/>
        </w:rPr>
      </w:pPr>
      <w:r>
        <w:rPr>
          <w:rFonts w:ascii="Times New Roman" w:cs="Times New Roman" w:eastAsia="Times New Roman" w:hAnsi="Times New Roman"/>
          <w:sz w:val="18"/>
          <w:szCs w:val="18"/>
          <w:color w:val="auto"/>
        </w:rPr>
        <w:t>The undersigned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 hereby acknowledges that he or she has received and read a copy of U.S. Energy Corp. Insider Trading Policy and agrees to comply with its terms.</w:t>
      </w:r>
    </w:p>
    <w:p>
      <w:pPr>
        <w:spacing w:after="0" w:line="15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 understand that violation of insider trading or tipping laws or regulations may subject me to severe civil and/or criminal penalties, and that violation of the terms of the above-titled policy may subject me to discipline by the Company up to and including termination for cause.</w:t>
      </w:r>
    </w:p>
    <w:p>
      <w:pPr>
        <w:spacing w:after="0" w:line="377" w:lineRule="exact"/>
        <w:rPr>
          <w:sz w:val="20"/>
          <w:szCs w:val="20"/>
          <w:color w:val="auto"/>
        </w:rPr>
      </w:pPr>
    </w:p>
    <w:p>
      <w:pPr>
        <w:spacing w:after="0"/>
        <w:tabs>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16510</wp:posOffset>
            </wp:positionV>
            <wp:extent cx="2363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2363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-8255</wp:posOffset>
            </wp:positionV>
            <wp:extent cx="7677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16510</wp:posOffset>
            </wp:positionV>
            <wp:extent cx="2363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(Please Print)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return to:</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Energy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363220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700" w:type="dxa"/>
            <w:vAlign w:val="bottom"/>
            <w:tcBorders>
              <w:top w:val="single" w:sz="8" w:color="auto"/>
              <w:left w:val="single" w:sz="8" w:color="auto"/>
              <w:bottom w:val="single" w:sz="8" w:color="auto"/>
              <w:right w:val="single" w:sz="8" w:color="auto"/>
            </w:tcBorders>
            <w:shd w:val="clear" w:color="auto" w:fill="E6E6E6"/>
          </w:tcPr>
          <w:p>
            <w:pPr>
              <w:ind w:left="2140"/>
              <w:spacing w:after="0"/>
              <w:rPr>
                <w:sz w:val="20"/>
                <w:szCs w:val="20"/>
                <w:color w:val="auto"/>
              </w:rPr>
            </w:pPr>
            <w:r>
              <w:rPr>
                <w:rFonts w:ascii="Times New Roman" w:cs="Times New Roman" w:eastAsia="Times New Roman" w:hAnsi="Times New Roman"/>
                <w:sz w:val="18"/>
                <w:szCs w:val="18"/>
                <w:b w:val="1"/>
                <w:bCs w:val="1"/>
                <w:color w:val="auto"/>
              </w:rPr>
              <w:t>Employee Position</w:t>
            </w:r>
          </w:p>
        </w:tc>
        <w:tc>
          <w:tcPr>
            <w:tcW w:w="5540" w:type="dxa"/>
            <w:vAlign w:val="bottom"/>
            <w:tcBorders>
              <w:top w:val="single" w:sz="8" w:color="auto"/>
              <w:bottom w:val="single" w:sz="8" w:color="auto"/>
              <w:right w:val="single" w:sz="8" w:color="auto"/>
            </w:tcBorders>
            <w:shd w:val="clear" w:color="auto" w:fill="E6E6E6"/>
          </w:tcPr>
          <w:p>
            <w:pPr>
              <w:ind w:left="2140"/>
              <w:spacing w:after="0"/>
              <w:rPr>
                <w:sz w:val="20"/>
                <w:szCs w:val="20"/>
                <w:color w:val="auto"/>
              </w:rPr>
            </w:pPr>
            <w:r>
              <w:rPr>
                <w:rFonts w:ascii="Times New Roman" w:cs="Times New Roman" w:eastAsia="Times New Roman" w:hAnsi="Times New Roman"/>
                <w:sz w:val="18"/>
                <w:szCs w:val="18"/>
                <w:b w:val="1"/>
                <w:bCs w:val="1"/>
                <w:color w:val="auto"/>
              </w:rPr>
              <w:t>Employee Name</w:t>
            </w:r>
          </w:p>
        </w:tc>
      </w:tr>
      <w:tr>
        <w:trPr>
          <w:trHeight w:val="212"/>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r>
      <w:tr>
        <w:trPr>
          <w:trHeight w:val="208"/>
        </w:trPr>
        <w:tc>
          <w:tcPr>
            <w:tcW w:w="57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5540" w:type="dxa"/>
            <w:vAlign w:val="bottom"/>
            <w:tcBorders>
              <w:bottom w:val="single" w:sz="8" w:color="auto"/>
              <w:right w:val="single" w:sz="8" w:color="auto"/>
            </w:tcBorders>
            <w:shd w:val="clear" w:color="auto" w:fill="CCEEFF"/>
          </w:tcPr>
          <w:p>
            <w:pPr>
              <w:spacing w:after="0"/>
              <w:rPr>
                <w:sz w:val="18"/>
                <w:szCs w:val="18"/>
                <w:color w:val="auto"/>
              </w:rPr>
            </w:pPr>
          </w:p>
        </w:tc>
      </w:tr>
    </w:tbl>
    <w:p>
      <w:pPr>
        <w:sectPr>
          <w:pgSz w:w="11900" w:h="16838" w:orient="portrait"/>
          <w:cols w:equalWidth="0" w:num="1">
            <w:col w:w="11240"/>
          </w:cols>
          <w:pgMar w:left="320" w:top="57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subsidiaries of U.S Energy Corp, a Delaware corporation (the “Registrant”), as of December 31,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One LLC, Wyoming, wholly-owned limited liability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Horizon Resources, LLC, North Dakota wholly-owned limited liability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Coyote Resources, LLC, Montana, wholly-owned limited liability company.</w:t>
      </w:r>
    </w:p>
    <w:p>
      <w:pPr>
        <w:sectPr>
          <w:pgSz w:w="11900" w:h="16838" w:orient="portrait"/>
          <w:cols w:equalWidth="0" w:num="1">
            <w:col w:w="10139"/>
          </w:cols>
          <w:pgMar w:left="320" w:top="332"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consent to the incorporation by reference in U.S. Energy Corp.’s Registration Statements on Form S-3 (Nos. 333-267286 and 333-265532) and Form S-8 (Nos. 333-267267, 333-183911, and 333-261600) of our report dated March 13, 2026 relating to the December 31, 2025 and 2024 consolidated financial statements of U.S. Energy Corp., which appears in this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ON POINT RESOURCES, INC.</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We hereby consent to the inclusion in the Annual Report on Form 10-K prepared by U.S. Energy Corp. (the “Company”) for the year ended December 31, 2025, of our report relating to certain estimated quantities of the Company’s proved reserves of oil and natural gas, future net income and discounted future net income, effective December 31, 2025. We further consent to reference to our firm in the Annual Report, including, but not limited to, under Item 2 – Properties under the heading “Oil and Natural Gas Interests” and Item 8, Note 16 of the Notes to Consolidated Financial Statements under the caption “Supplemental Oil and Natural Gas Information (Unaudited).” We further consent to the inclusion of our report dated January 8, 2025, containing our opinion on the proved reserves attributable to certain properties that the Company has represented that it has an interest in as of December 31, 2025, as an exhibit in the Annual Report and to the incorporation by reference of information from our Report into the Company’s Registration Statements on Form S-3 (Nos. 333-267286 and 333-265532), and Form S-8 (Nos. 333-267267, 333-183911, and 333-261600).</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 Point Resources, Inc.</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Don Jacks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7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Don Jacks, President</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L. Smith, certify that:</w:t>
      </w:r>
    </w:p>
    <w:p>
      <w:pPr>
        <w:spacing w:after="0" w:line="223" w:lineRule="exact"/>
        <w:rPr>
          <w:sz w:val="20"/>
          <w:szCs w:val="20"/>
          <w:color w:val="auto"/>
        </w:rPr>
      </w:pPr>
    </w:p>
    <w:p>
      <w:pPr>
        <w:ind w:left="340" w:hanging="333"/>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U.S. Energy Corp.;</w:t>
      </w:r>
    </w:p>
    <w:p>
      <w:pPr>
        <w:spacing w:after="0" w:line="249"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17780</wp:posOffset>
            </wp:positionV>
            <wp:extent cx="3250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Ryan L. Smith</w:t>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 Zajac, certify that:</w:t>
      </w:r>
    </w:p>
    <w:p>
      <w:pPr>
        <w:spacing w:after="0" w:line="223" w:lineRule="exact"/>
        <w:rPr>
          <w:sz w:val="20"/>
          <w:szCs w:val="20"/>
          <w:color w:val="auto"/>
        </w:rPr>
      </w:pPr>
    </w:p>
    <w:p>
      <w:pPr>
        <w:ind w:left="340" w:hanging="333"/>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U.S. Energy Corp.;</w:t>
      </w:r>
    </w:p>
    <w:p>
      <w:pPr>
        <w:spacing w:after="0" w:line="249"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Mark L. Zajac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17780</wp:posOffset>
            </wp:positionV>
            <wp:extent cx="32766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Mark L. Zajc</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on Form 10-K of U.S. Energy Corp. (the “Company”) for the year ended December 31, 2025 as filed with the Securities and Exchange Commission on the date hereof (the “Report”), I, Ryan L. Smith, certify, pursuant to 18 U.S.C. § 1350, as adopted pursuant to § 906 of the Sarbanes-Oxley Act of 2002, to my knowledge, that:</w:t>
      </w:r>
    </w:p>
    <w:p>
      <w:pPr>
        <w:spacing w:after="0" w:line="177" w:lineRule="exact"/>
        <w:rPr>
          <w:sz w:val="20"/>
          <w:szCs w:val="20"/>
          <w:color w:val="auto"/>
        </w:rPr>
      </w:pPr>
    </w:p>
    <w:p>
      <w:pPr>
        <w:ind w:left="660" w:hanging="330"/>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17780</wp:posOffset>
            </wp:positionV>
            <wp:extent cx="32505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Ryan L. Smith</w:t>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on Form 10-K of U.S. Energy Corp. (the “Company”) for the year ended December 31, 2025 as filed with the Securities and Exchange Commission on the date hereof (the “Report”), I, Mark L. Zajac, certify, pursuant to 18 U.S.C. § 1350, as adopted pursuant to § 906 of the Sarbanes-Oxley Act of 2002, to my knowledge, that:</w:t>
      </w:r>
    </w:p>
    <w:p>
      <w:pPr>
        <w:spacing w:after="0" w:line="177" w:lineRule="exact"/>
        <w:rPr>
          <w:sz w:val="20"/>
          <w:szCs w:val="20"/>
          <w:color w:val="auto"/>
        </w:rPr>
      </w:pPr>
    </w:p>
    <w:p>
      <w:pPr>
        <w:ind w:left="660" w:hanging="330"/>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Zajac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17780</wp:posOffset>
            </wp:positionV>
            <wp:extent cx="32505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Mark L. Zajac</w:t>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155575</wp:posOffset>
            </wp:positionV>
            <wp:extent cx="2602230" cy="546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2602230" cy="54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3602 S. Garland Rd.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Enid, OK 73703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580-822-1145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1/14/26</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Energy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1616 S. Voss, Ste. 725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77057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Ryan Smith, CEO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USEG 4Q 2025 Reserve Report “as of” 1/1/26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Ryan:</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your request, I have evaluated remaining reserves for 134 properties in Kansas, Mississippi, Montana, North Dakota, New Mexico, Oklahoma, Texas, and Wyoming. Production was updated for all the leases and reserve projections were reviewed and revised. Operating expenses and price differentials were determined using data from your accounting system for all leases. This report is organized by USEG Districts. This report uses the SEC 4Q25, first day of the month, price forecast averaged over the prior 12 months as confirmed by industry websites and documented in attachment 06. A summary table with each well’s value along with other reports are included in support of this 4Q25 evaluation.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PROVED RESERVE VALUE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As Of</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January 1, 2026</w:t>
            </w:r>
          </w:p>
        </w:tc>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Proved Res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(PV10%)</w:t>
            </w:r>
          </w:p>
        </w:tc>
        <w:tc>
          <w:tcPr>
            <w:tcW w:w="2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$18,387,043</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(1,087,151 BO &amp; 2,187,995 MCF Net)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P-DP RESERVE VALUE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 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January 1, 2026</w:t>
            </w: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 1</w:t>
            </w:r>
          </w:p>
        </w:tc>
        <w:tc>
          <w:tcPr>
            <w:tcW w:w="2440" w:type="dxa"/>
            <w:vAlign w:val="bottom"/>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6"/>
              </w:rPr>
              <w:t>PDP</w:t>
            </w:r>
          </w:p>
        </w:tc>
        <w:tc>
          <w:tcPr>
            <w:tcW w:w="16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7"/>
              </w:rPr>
              <w:t>(PV10%)</w:t>
            </w:r>
          </w:p>
        </w:tc>
        <w:tc>
          <w:tcPr>
            <w:tcW w:w="2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$1,164,087</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 BO &amp; 1,061,909 MCF Net)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Dist. 2</w:t>
            </w:r>
          </w:p>
        </w:tc>
        <w:tc>
          <w:tcPr>
            <w:tcW w:w="24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6"/>
              </w:rPr>
              <w:t>PDP</w:t>
            </w:r>
          </w:p>
        </w:tc>
        <w:tc>
          <w:tcPr>
            <w:tcW w:w="16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(PV10%)</w:t>
            </w:r>
          </w:p>
        </w:tc>
        <w:tc>
          <w:tcPr>
            <w:tcW w:w="2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$469,686</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 BO &amp; 124,969 MCF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 3</w:t>
            </w:r>
          </w:p>
        </w:tc>
        <w:tc>
          <w:tcPr>
            <w:tcW w:w="2440" w:type="dxa"/>
            <w:vAlign w:val="bottom"/>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6"/>
              </w:rPr>
              <w:t>PDP</w:t>
            </w:r>
          </w:p>
        </w:tc>
        <w:tc>
          <w:tcPr>
            <w:tcW w:w="166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7"/>
              </w:rPr>
              <w:t>(PV10%)</w:t>
            </w:r>
          </w:p>
        </w:tc>
        <w:tc>
          <w:tcPr>
            <w:tcW w:w="2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$42,969</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BO &amp; 119,206 MCF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Dist. 4B</w:t>
            </w:r>
          </w:p>
        </w:tc>
        <w:tc>
          <w:tcPr>
            <w:tcW w:w="24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6"/>
              </w:rPr>
              <w:t>PDP</w:t>
            </w:r>
          </w:p>
        </w:tc>
        <w:tc>
          <w:tcPr>
            <w:tcW w:w="16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7"/>
              </w:rPr>
              <w:t>(PV10%)</w:t>
            </w:r>
          </w:p>
        </w:tc>
        <w:tc>
          <w:tcPr>
            <w:tcW w:w="2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$699,365</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 BO &amp; 833,165 MCF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 5</w:t>
            </w:r>
          </w:p>
        </w:tc>
        <w:tc>
          <w:tcPr>
            <w:tcW w:w="2440" w:type="dxa"/>
            <w:vAlign w:val="bottom"/>
            <w:tcBorders>
              <w:bottom w:val="single" w:sz="8" w:color="auto"/>
            </w:tcBorders>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6"/>
              </w:rPr>
              <w:t>PDP</w:t>
            </w:r>
          </w:p>
        </w:tc>
        <w:tc>
          <w:tcPr>
            <w:tcW w:w="1660" w:type="dxa"/>
            <w:vAlign w:val="bottom"/>
            <w:tcBorders>
              <w:bottom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7"/>
              </w:rPr>
              <w:t>(PV10%)</w:t>
            </w:r>
          </w:p>
        </w:tc>
        <w:tc>
          <w:tcPr>
            <w:tcW w:w="21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$16,010,937</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(1,040,219 BO &amp; 48,746 MCF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P-DP</w:t>
            </w:r>
          </w:p>
        </w:tc>
        <w:tc>
          <w:tcPr>
            <w:tcW w:w="24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6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(PV10%)</w:t>
            </w:r>
          </w:p>
        </w:tc>
        <w:tc>
          <w:tcPr>
            <w:tcW w:w="2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$18,387,043</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(1,087,151 BO &amp; 2,187,995 MCF 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Monthly production was updated at least through 9/30/25 for operated leases using Enverus data. The OPEX determined for 4Q25 used fixed costs averaged over 18 months from 1/24 through 6/25. A review of Montana OPEX was done by Mason McGuire of USEG resulting in an 11% OPEX reduction for leases in Montana. Consistent with prior reports, abandonment and salvage costs were not applied so they can be handled separately and accounted for as a line item. Asset retirement obligations (ARO) are handled by USEG management.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USEG 4Q25 Reserve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4Q25 SEC Prices - $65.34/BO $3.39/MCF $31.97/Bbl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Misc</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Oil Rev</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Gas Rev</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Rev</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OPEX/TAX</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CAPEX</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PV0</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PV10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MBO</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MMCF</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w:t>
            </w: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w:t>
            </w: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Proved</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1,087.151</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2,187.995</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61,791.115</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7,082.042</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2,404.433</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35,496.008</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35,781.583</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18,387.043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16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BY DIST</w:t>
            </w:r>
          </w:p>
        </w:tc>
        <w:tc>
          <w:tcPr>
            <w:tcW w:w="760" w:type="dxa"/>
            <w:vAlign w:val="bottom"/>
            <w:shd w:val="clear" w:color="auto" w:fill="CCEEFF"/>
          </w:tcPr>
          <w:p>
            <w:pPr>
              <w:jc w:val="center"/>
              <w:ind w:left="59"/>
              <w:spacing w:after="0" w:line="161" w:lineRule="exact"/>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1</w:t>
            </w: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15.749</w:t>
            </w:r>
          </w:p>
        </w:tc>
        <w:tc>
          <w:tcPr>
            <w:tcW w:w="92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1,061.909</w:t>
            </w:r>
          </w:p>
        </w:tc>
        <w:tc>
          <w:tcPr>
            <w:tcW w:w="102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1,011.965</w:t>
            </w:r>
          </w:p>
        </w:tc>
        <w:tc>
          <w:tcPr>
            <w:tcW w:w="92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3,646.799</w:t>
            </w:r>
          </w:p>
        </w:tc>
        <w:tc>
          <w:tcPr>
            <w:tcW w:w="9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2,788.821</w:t>
            </w:r>
          </w:p>
        </w:tc>
        <w:tc>
          <w:tcPr>
            <w:tcW w:w="84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1,869.944</w:t>
            </w:r>
          </w:p>
        </w:tc>
        <w:tc>
          <w:tcPr>
            <w:tcW w:w="1120" w:type="dxa"/>
            <w:vAlign w:val="bottom"/>
            <w:tcBorders>
              <w:top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1,164.087</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2</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20.806</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124.969</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1,301.852</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419.408</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833.812</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887.448</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469.686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119.206</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294.999</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239.173</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55.825</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42.969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4B</w:t>
            </w: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10.378</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833.165</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650.285</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2,639.123</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2,152.747</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1,136.661</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699.365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5</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1,040.219</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48.746</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58,827.012</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81.714</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2,404.433</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29,481.455</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31,831.704</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16,010.937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1,087.151</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2,187.995</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61,791.115</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7,082.042</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2,404.433</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35,496.008</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35,781.583</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18,387.043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16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BY REGION</w:t>
            </w: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 TX PDP</w:t>
            </w:r>
          </w:p>
        </w:tc>
        <w:tc>
          <w:tcPr>
            <w:tcW w:w="2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8.315</w:t>
            </w:r>
          </w:p>
        </w:tc>
        <w:tc>
          <w:tcPr>
            <w:tcW w:w="92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833.165</w:t>
            </w:r>
          </w:p>
        </w:tc>
        <w:tc>
          <w:tcPr>
            <w:tcW w:w="102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521.652</w:t>
            </w:r>
          </w:p>
        </w:tc>
        <w:tc>
          <w:tcPr>
            <w:tcW w:w="92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2,639.123</w:t>
            </w:r>
          </w:p>
        </w:tc>
        <w:tc>
          <w:tcPr>
            <w:tcW w:w="9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2,031.508</w:t>
            </w:r>
          </w:p>
        </w:tc>
        <w:tc>
          <w:tcPr>
            <w:tcW w:w="84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1,129.266</w:t>
            </w:r>
          </w:p>
        </w:tc>
        <w:tc>
          <w:tcPr>
            <w:tcW w:w="1120" w:type="dxa"/>
            <w:vAlign w:val="bottom"/>
            <w:tcBorders>
              <w:top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692.550</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MID PDP</w:t>
            </w: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18.157</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1,186.878</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1,166.880</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4,066.207</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3,062.073</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2,171.014</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1,319.521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MS PDP</w:t>
            </w:r>
          </w:p>
        </w:tc>
        <w:tc>
          <w:tcPr>
            <w:tcW w:w="7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2.063</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128.633</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121.239</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7.395</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6.815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MT PDP</w:t>
            </w: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974.968</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30.697</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55,124.685</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67.640</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2,404.433</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27,675.360</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29,921.399</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14,919.066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 TX PDP</w:t>
            </w:r>
          </w:p>
        </w:tc>
        <w:tc>
          <w:tcPr>
            <w:tcW w:w="7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18.398</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1,146.937</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560.559</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586.378</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314.252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 TX PDP</w:t>
            </w: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119.206</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294.999</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239.173</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55.825</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42.969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WY PDP</w:t>
            </w:r>
          </w:p>
        </w:tc>
        <w:tc>
          <w:tcPr>
            <w:tcW w:w="7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65.251</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18.050</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3,702.327</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14.073</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1,806.095</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1,910.305</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1,091.871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6"/>
              </w:rPr>
              <w:t>PDP</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1,087.151</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2,187.995</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61,791.115</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7,082.042</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2,404.433</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35,496.008</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0.000</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35,781.583</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18,387.043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Wellhead oil price averaged $56.84/BO throughout the economic life of the properties and included deductions for transportation &amp; quality. Wellhead gas price averaged $3.24/MCF throughout the economic life of the properties and included deductions for marketing, transportation &amp; quality. Supporting documentation from this 4Q25 report is attached for price differentials and operating costs for this evaluation.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USEG - 2025 Q4 SEC Price Forecast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 WTI</w:t>
            </w: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 HH</w:t>
            </w: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 Prop</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3"/>
          </w:tcPr>
          <w:p>
            <w:pPr>
              <w:jc w:val="center"/>
              <w:ind w:right="20"/>
              <w:spacing w:after="0" w:line="197" w:lineRule="exact"/>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/BO</w:t>
            </w:r>
          </w:p>
        </w:tc>
        <w:tc>
          <w:tcPr>
            <w:tcW w:w="1540" w:type="dxa"/>
            <w:vAlign w:val="bottom"/>
            <w:gridSpan w:val="3"/>
          </w:tcPr>
          <w:p>
            <w:pPr>
              <w:jc w:val="center"/>
              <w:ind w:right="20"/>
              <w:spacing w:after="0" w:line="197" w:lineRule="exact"/>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/MCF</w:t>
            </w:r>
          </w:p>
        </w:tc>
        <w:tc>
          <w:tcPr>
            <w:tcW w:w="1520" w:type="dxa"/>
            <w:vAlign w:val="bottom"/>
            <w:gridSpan w:val="3"/>
          </w:tcPr>
          <w:p>
            <w:pPr>
              <w:jc w:val="center"/>
              <w:ind w:right="20"/>
              <w:spacing w:after="0" w:line="197" w:lineRule="exact"/>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/Bbl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1/1/2025</w:t>
            </w: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$71.72</w:t>
            </w:r>
          </w:p>
        </w:tc>
        <w:tc>
          <w:tcPr>
            <w:tcW w:w="104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$3.39</w:t>
            </w:r>
          </w:p>
        </w:tc>
        <w:tc>
          <w:tcPr>
            <w:tcW w:w="500" w:type="dxa"/>
            <w:vAlign w:val="bottom"/>
            <w:tcBorders>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2/1/2025</w:t>
            </w: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$72.53</w:t>
            </w:r>
          </w:p>
        </w:tc>
        <w:tc>
          <w:tcPr>
            <w:tcW w:w="10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$2.92</w:t>
            </w:r>
          </w:p>
        </w:tc>
        <w:tc>
          <w:tcPr>
            <w:tcW w:w="500" w:type="dxa"/>
            <w:vAlign w:val="bottom"/>
          </w:tcPr>
          <w:p>
            <w:pPr>
              <w:spacing w:after="0"/>
              <w:rPr>
                <w:sz w:val="18"/>
                <w:szCs w:val="18"/>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3/1/2025</w:t>
            </w: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$69.76</w:t>
            </w:r>
          </w:p>
        </w:tc>
        <w:tc>
          <w:tcPr>
            <w:tcW w:w="104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$3.89</w:t>
            </w:r>
          </w:p>
        </w:tc>
        <w:tc>
          <w:tcPr>
            <w:tcW w:w="500" w:type="dxa"/>
            <w:vAlign w:val="bottom"/>
            <w:tcBorders>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4/1/2025</w:t>
            </w: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$71.20</w:t>
            </w:r>
          </w:p>
        </w:tc>
        <w:tc>
          <w:tcPr>
            <w:tcW w:w="10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$4.13</w:t>
            </w:r>
          </w:p>
        </w:tc>
        <w:tc>
          <w:tcPr>
            <w:tcW w:w="500" w:type="dxa"/>
            <w:vAlign w:val="bottom"/>
          </w:tcPr>
          <w:p>
            <w:pPr>
              <w:spacing w:after="0"/>
              <w:rPr>
                <w:sz w:val="18"/>
                <w:szCs w:val="18"/>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5/1/2025</w:t>
            </w: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$59.24</w:t>
            </w:r>
          </w:p>
        </w:tc>
        <w:tc>
          <w:tcPr>
            <w:tcW w:w="104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$3.12</w:t>
            </w:r>
          </w:p>
        </w:tc>
        <w:tc>
          <w:tcPr>
            <w:tcW w:w="500" w:type="dxa"/>
            <w:vAlign w:val="bottom"/>
            <w:tcBorders>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6/1/2025</w:t>
            </w: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$60.79</w:t>
            </w:r>
          </w:p>
        </w:tc>
        <w:tc>
          <w:tcPr>
            <w:tcW w:w="10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$2.80</w:t>
            </w:r>
          </w:p>
        </w:tc>
        <w:tc>
          <w:tcPr>
            <w:tcW w:w="500" w:type="dxa"/>
            <w:vAlign w:val="bottom"/>
          </w:tcPr>
          <w:p>
            <w:pPr>
              <w:spacing w:after="0"/>
              <w:rPr>
                <w:sz w:val="18"/>
                <w:szCs w:val="18"/>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7/1/2025</w:t>
            </w: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$65.45</w:t>
            </w:r>
          </w:p>
        </w:tc>
        <w:tc>
          <w:tcPr>
            <w:tcW w:w="104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$3.28</w:t>
            </w:r>
          </w:p>
        </w:tc>
        <w:tc>
          <w:tcPr>
            <w:tcW w:w="500" w:type="dxa"/>
            <w:vAlign w:val="bottom"/>
            <w:tcBorders>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8/1/2025</w:t>
            </w: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$67.33</w:t>
            </w:r>
          </w:p>
        </w:tc>
        <w:tc>
          <w:tcPr>
            <w:tcW w:w="10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$2.95</w:t>
            </w:r>
          </w:p>
        </w:tc>
        <w:tc>
          <w:tcPr>
            <w:tcW w:w="500" w:type="dxa"/>
            <w:vAlign w:val="bottom"/>
          </w:tcPr>
          <w:p>
            <w:pPr>
              <w:spacing w:after="0"/>
              <w:rPr>
                <w:sz w:val="18"/>
                <w:szCs w:val="18"/>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9/1/2025</w:t>
            </w: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$64.01</w:t>
            </w:r>
          </w:p>
        </w:tc>
        <w:tc>
          <w:tcPr>
            <w:tcW w:w="104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$2.88</w:t>
            </w:r>
          </w:p>
        </w:tc>
        <w:tc>
          <w:tcPr>
            <w:tcW w:w="500" w:type="dxa"/>
            <w:vAlign w:val="bottom"/>
            <w:tcBorders>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10/1/2025</w:t>
            </w: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$61.78</w:t>
            </w:r>
          </w:p>
        </w:tc>
        <w:tc>
          <w:tcPr>
            <w:tcW w:w="10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$3.13</w:t>
            </w:r>
          </w:p>
        </w:tc>
        <w:tc>
          <w:tcPr>
            <w:tcW w:w="500" w:type="dxa"/>
            <w:vAlign w:val="bottom"/>
          </w:tcPr>
          <w:p>
            <w:pPr>
              <w:spacing w:after="0"/>
              <w:rPr>
                <w:sz w:val="18"/>
                <w:szCs w:val="18"/>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11/1/2025</w:t>
            </w: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$60.98</w:t>
            </w:r>
          </w:p>
        </w:tc>
        <w:tc>
          <w:tcPr>
            <w:tcW w:w="104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$3.58</w:t>
            </w:r>
          </w:p>
        </w:tc>
        <w:tc>
          <w:tcPr>
            <w:tcW w:w="500" w:type="dxa"/>
            <w:vAlign w:val="bottom"/>
            <w:tcBorders>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12/1/2025</w:t>
            </w: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$59.32</w:t>
            </w:r>
          </w:p>
        </w:tc>
        <w:tc>
          <w:tcPr>
            <w:tcW w:w="10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$4.59</w:t>
            </w:r>
          </w:p>
        </w:tc>
        <w:tc>
          <w:tcPr>
            <w:tcW w:w="500" w:type="dxa"/>
            <w:vAlign w:val="bottom"/>
          </w:tcPr>
          <w:p>
            <w:pPr>
              <w:spacing w:after="0"/>
              <w:rPr>
                <w:sz w:val="20"/>
                <w:szCs w:val="20"/>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Borders>
              <w:top w:val="single" w:sz="8" w:color="CCEEFF"/>
              <w:bottom w:val="single" w:sz="8" w:color="CCEEFF"/>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2025 Q4 Avg</w:t>
            </w:r>
          </w:p>
        </w:tc>
        <w:tc>
          <w:tcPr>
            <w:tcW w:w="1520" w:type="dxa"/>
            <w:vAlign w:val="bottom"/>
            <w:tcBorders>
              <w:top w:val="single" w:sz="8" w:color="auto"/>
              <w:bottom w:val="single" w:sz="8" w:color="auto"/>
              <w:right w:val="single" w:sz="8" w:color="auto"/>
            </w:tcBorders>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rPr>
              <w:t>$65.34</w:t>
            </w:r>
          </w:p>
        </w:tc>
        <w:tc>
          <w:tcPr>
            <w:tcW w:w="1040" w:type="dxa"/>
            <w:vAlign w:val="bottom"/>
            <w:tcBorders>
              <w:top w:val="single" w:sz="8" w:color="auto"/>
              <w:bottom w:val="single" w:sz="8" w:color="auto"/>
            </w:tcBorders>
            <w:gridSpan w:val="2"/>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$3.39</w:t>
            </w:r>
          </w:p>
        </w:tc>
        <w:tc>
          <w:tcPr>
            <w:tcW w:w="50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right w:val="single" w:sz="8" w:color="auto"/>
            </w:tcBorders>
            <w:gridSpan w:val="3"/>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w w:val="96"/>
              </w:rPr>
              <w:t>$31.97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 R-S 1st of Month WTI &amp; HH</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Proved Developed Oil and Gas reserves, as shown in the E-mailed reports, are reserves that geological and engineering data indicate to be recoverable from known oil and gas reservoirs through existing wells with existing operating methods. The reserves in this report have been estimated using deterministic methods. These estimates have been prepared in accordance with the Standards Pertaining to the Estimating and Auditing of Oil and Gas Reserves Information (“SPE Reserves Standards”), revised June 2019 and distributed by SPE.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36" w:name="page137"/>
    <w:bookmarkEnd w:id="136"/>
    <w:p>
      <w:pPr>
        <w:jc w:val="both"/>
        <w:spacing w:after="0" w:line="255" w:lineRule="auto"/>
        <w:rPr>
          <w:sz w:val="20"/>
          <w:szCs w:val="20"/>
          <w:color w:val="auto"/>
        </w:rPr>
      </w:pPr>
      <w:r>
        <w:rPr>
          <w:rFonts w:ascii="Times New Roman" w:cs="Times New Roman" w:eastAsia="Times New Roman" w:hAnsi="Times New Roman"/>
          <w:sz w:val="18"/>
          <w:szCs w:val="18"/>
          <w:color w:val="auto"/>
        </w:rPr>
        <w:t>The reserves and values included in this report are estimates only and should not be construed as being exact quantities. The reserve estimates were performed using accepted engineering practices and were primarily based on historical rate decline analysis for existing producers. The reserve volumes were estimated based on the definitions and disclosure guidelines published by the Society of Petroleum engineers (SPE), Society of Petroleum Evaluations Engineers (SPEE), and Petroleum Reserves Management System (PRMS). Because of governmental policies and uncertainties of supply and demand, the prices actually received for the reserves included in this report and the costs incurred in recovering such reserves may vary from the price and cost assumptions referenced. Therefore, in all cases, estimates of reserves may increase or decrease as a result of future operations.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evaluating the information available for this analysis, items excluded from consideration were all matters as to which legal or accounting, rather than engineering interpretation, may be controlling. As in all aspects of oil and gas evaluation, there are uncertainties inherent in the interpretation of engineering data and such conclusions necessarily represent only informed professional judgments.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title to the property has not been examined nor has the actual degree or type of interest owned been independently confirmed. A field inspection of the properties is not usually considered necessary for the purpose of this report.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Information included in this report includes the graphical decline curves, historical and projected production and cash flow economic results, and miscellaneous individual well information. Additional information reviewed will be retained and is available for review at any time. I can take no responsibility for the accuracy of the data used in the analysis, whether gathered from public sources or otherwise.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1117600" cy="5715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11176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 Jacks,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153035</wp:posOffset>
            </wp:positionV>
            <wp:extent cx="1339850" cy="1442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1339850"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Professional Engineer 73499 &amp; Firm F-23888</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3</w:t>
      </w:r>
    </w:p>
    <w:sectPr>
      <w:pgSz w:w="11900" w:h="16838" w:orient="portrait"/>
      <w:cols w:equalWidth="0" w:num="1">
        <w:col w:w="11240"/>
      </w:cols>
      <w:pgMar w:left="320" w:top="5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lowerLetter"/>
      <w:start w:val="2"/>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1)"/>
      <w:numFmt w:val="lowerRoman"/>
      <w:start w:val="2"/>
    </w:lvl>
  </w:abstractNum>
  <w:abstractNum w:abstractNumId="28">
    <w:nsid w:val="275AC794"/>
    <w:multiLevelType w:val="hybridMultilevel"/>
    <w:lvl w:ilvl="0">
      <w:lvlJc w:val="left"/>
      <w:lvlText w:val="%1."/>
      <w:numFmt w:val="decimal"/>
      <w:start w:val="2"/>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5"/>
    </w:lvl>
  </w:abstractNum>
  <w:abstractNum w:abstractNumId="32">
    <w:nsid w:val="235BA861"/>
    <w:multiLevelType w:val="hybridMultilevel"/>
    <w:lvl w:ilvl="0">
      <w:lvlJc w:val="left"/>
      <w:lvlText w:val="%1."/>
      <w:numFmt w:val="decimal"/>
      <w:start w:val="9"/>
    </w:lvl>
  </w:abstractNum>
  <w:abstractNum w:abstractNumId="33">
    <w:nsid w:val="47398C89"/>
    <w:multiLevelType w:val="hybridMultilevel"/>
    <w:lvl w:ilvl="0">
      <w:lvlJc w:val="left"/>
      <w:lvlText w:val="%1."/>
      <w:numFmt w:val="decimal"/>
      <w:start w:val="11"/>
    </w:lvl>
  </w:abstractNum>
  <w:abstractNum w:abstractNumId="34">
    <w:nsid w:val="354FE9F9"/>
    <w:multiLevelType w:val="hybridMultilevel"/>
    <w:lvl w:ilvl="0">
      <w:lvlJc w:val="left"/>
      <w:lvlText w:val="%1."/>
      <w:numFmt w:val="decimal"/>
      <w:start w:val="16"/>
    </w:lvl>
  </w:abstractNum>
  <w:abstractNum w:abstractNumId="35">
    <w:nsid w:val="15B5AF5C"/>
    <w:multiLevelType w:val="hybridMultilevel"/>
    <w:lvl w:ilvl="0">
      <w:lvlJc w:val="left"/>
      <w:lvlText w:val="%1."/>
      <w:numFmt w:val="decimal"/>
      <w:start w:val="17"/>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1"/>
    </w:lvl>
    <w:lvl w:ilvl="1">
      <w:lvlJc w:val="left"/>
      <w:lvlText w:val="●"/>
      <w:numFmt w:val="bullet"/>
      <w:start w:val="1"/>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upperLetter"/>
      <w:start w:val="1"/>
    </w:lvl>
  </w:abstractNum>
  <w:abstractNum w:abstractNumId="44">
    <w:nsid w:val="310C50B3"/>
    <w:multiLevelType w:val="hybridMultilevel"/>
    <w:lvl w:ilvl="0">
      <w:lvlJc w:val="left"/>
      <w:lvlText w:val="%1."/>
      <w:numFmt w:val="upperLetter"/>
      <w:start w:val="2"/>
    </w:lvl>
  </w:abstractNum>
  <w:abstractNum w:abstractNumId="45">
    <w:nsid w:val="5FF87E05"/>
    <w:multiLevelType w:val="hybridMultilevel"/>
    <w:lvl w:ilvl="0">
      <w:lvlJc w:val="left"/>
      <w:lvlText w:val="%1."/>
      <w:numFmt w:val="upperLetter"/>
      <w:start w:val="3"/>
    </w:lvl>
  </w:abstractNum>
  <w:abstractNum w:abstractNumId="46">
    <w:nsid w:val="2F305DEF"/>
    <w:multiLevelType w:val="hybridMultilevel"/>
    <w:lvl w:ilvl="0">
      <w:lvlJc w:val="left"/>
      <w:lvlText w:val="%1."/>
      <w:numFmt w:val="upperLetter"/>
      <w:start w:val="4"/>
    </w:lvl>
  </w:abstractNum>
  <w:abstractNum w:abstractNumId="47">
    <w:nsid w:val="25A70BF7"/>
    <w:multiLevelType w:val="hybridMultilevel"/>
    <w:lvl w:ilvl="0">
      <w:lvlJc w:val="left"/>
      <w:lvlText w:val="%1."/>
      <w:numFmt w:val="upperLetter"/>
      <w:start w:val="4"/>
    </w:lvl>
    <w:lvl w:ilvl="1">
      <w:lvlJc w:val="left"/>
      <w:lvlText w:val="●"/>
      <w:numFmt w:val="bullet"/>
      <w:start w:val="1"/>
    </w:lvl>
  </w:abstractNum>
  <w:abstractNum w:abstractNumId="48">
    <w:nsid w:val="1DBABF00"/>
    <w:multiLevelType w:val="hybridMultilevel"/>
    <w:lvl w:ilvl="0">
      <w:lvlJc w:val="left"/>
      <w:lvlText w:val="%1."/>
      <w:numFmt w:val="upperLetter"/>
      <w:start w:val="6"/>
    </w:lvl>
  </w:abstractNum>
  <w:abstractNum w:abstractNumId="49">
    <w:nsid w:val="4AD084E9"/>
    <w:multiLevelType w:val="hybridMultilevel"/>
    <w:lvl w:ilvl="0">
      <w:lvlJc w:val="left"/>
      <w:lvlText w:val="%1."/>
      <w:numFmt w:val="upperLetter"/>
      <w:start w:val="7"/>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1."/>
      <w:numFmt w:val="upperLetter"/>
      <w:start w:val="8"/>
    </w:lvl>
    <w:lvl w:ilvl="1">
      <w:lvlJc w:val="left"/>
      <w:lvlText w:val="%2."/>
      <w:numFmt w:val="decimal"/>
      <w:start w:val="1"/>
    </w:lvl>
    <w:lvl w:ilvl="2">
      <w:lvlJc w:val="left"/>
      <w:lvlText w:val="%3."/>
      <w:numFmt w:val="upperLetter"/>
      <w:start w:val="1"/>
    </w:lvl>
  </w:abstractNum>
  <w:abstractNum w:abstractNumId="53">
    <w:nsid w:val="100F8FCA"/>
    <w:multiLevelType w:val="hybridMultilevel"/>
    <w:lvl w:ilvl="0">
      <w:lvlJc w:val="left"/>
      <w:lvlText w:val="%1."/>
      <w:numFmt w:val="decimal"/>
      <w:start w:val="3"/>
    </w:lvl>
  </w:abstractNum>
  <w:abstractNum w:abstractNumId="54">
    <w:nsid w:val="6590700B"/>
    <w:multiLevelType w:val="hybridMultilevel"/>
    <w:lvl w:ilvl="0">
      <w:lvlJc w:val="left"/>
      <w:lvlText w:val="%1."/>
      <w:numFmt w:val="decimal"/>
      <w:start w:val="4"/>
    </w:lvl>
    <w:lvl w:ilvl="1">
      <w:lvlJc w:val="left"/>
      <w:lvlText w:val="%2."/>
      <w:numFmt w:val="upperLetter"/>
      <w:start w:val="1"/>
    </w:lvl>
  </w:abstractNum>
  <w:abstractNum w:abstractNumId="55">
    <w:nsid w:val="15014ACB"/>
    <w:multiLevelType w:val="hybridMultilevel"/>
    <w:lvl w:ilvl="0">
      <w:lvlJc w:val="left"/>
      <w:lvlText w:val="%1."/>
      <w:numFmt w:val="upperLetter"/>
      <w:start w:val="6"/>
    </w:lvl>
    <w:lvl w:ilvl="1">
      <w:lvlJc w:val="left"/>
      <w:lvlText w:val="%2."/>
      <w:numFmt w:val="lowerLetter"/>
      <w:start w:val="1"/>
    </w:lvl>
  </w:abstractNum>
  <w:abstractNum w:abstractNumId="56">
    <w:nsid w:val="5F5E7FD0"/>
    <w:multiLevelType w:val="hybridMultilevel"/>
    <w:lvl w:ilvl="0">
      <w:lvlJc w:val="left"/>
      <w:lvlText w:val="%1."/>
      <w:numFmt w:val="decimal"/>
      <w:start w:val="5"/>
    </w:lvl>
  </w:abstractNum>
  <w:abstractNum w:abstractNumId="57">
    <w:nsid w:val="98A3148"/>
    <w:multiLevelType w:val="hybridMultilevel"/>
    <w:lvl w:ilvl="0">
      <w:lvlJc w:val="left"/>
      <w:lvlText w:val="%1"/>
      <w:numFmt w:val="upperLetter"/>
      <w:start w:val="1"/>
    </w:lvl>
    <w:lvl w:ilvl="1">
      <w:lvlJc w:val="left"/>
      <w:lvlText w:val="%2."/>
      <w:numFmt w:val="decimal"/>
      <w:start w:val="10"/>
    </w:lvl>
  </w:abstractNum>
  <w:abstractNum w:abstractNumId="58">
    <w:nsid w:val="799D0247"/>
    <w:multiLevelType w:val="hybridMultilevel"/>
    <w:lvl w:ilvl="0">
      <w:lvlJc w:val="left"/>
      <w:lvlText w:val="%1."/>
      <w:numFmt w:val="upperLetter"/>
      <w:start w:val="9"/>
    </w:lvl>
    <w:lvl w:ilvl="1">
      <w:lvlJc w:val="left"/>
      <w:lvlText w:val="%2."/>
      <w:numFmt w:val="decimal"/>
      <w:start w:val="1"/>
    </w:lvl>
  </w:abstractNum>
  <w:abstractNum w:abstractNumId="59">
    <w:nsid w:val="6B94764"/>
    <w:multiLevelType w:val="hybridMultilevel"/>
    <w:lvl w:ilvl="0">
      <w:lvlJc w:val="left"/>
      <w:lvlText w:val="%1"/>
      <w:numFmt w:val="upperLetter"/>
      <w:start w:val="1"/>
    </w:lvl>
    <w:lvl w:ilvl="1">
      <w:lvlJc w:val="left"/>
      <w:lvlText w:val="%2."/>
      <w:numFmt w:val="decimal"/>
      <w:start w:val="3"/>
    </w:lvl>
  </w:abstractNum>
  <w:abstractNum w:abstractNumId="60">
    <w:nsid w:val="42C296BD"/>
    <w:multiLevelType w:val="hybridMultilevel"/>
    <w:lvl w:ilvl="0">
      <w:lvlJc w:val="left"/>
      <w:lvlText w:val="%1"/>
      <w:numFmt w:val="upperLetter"/>
      <w:start w:val="1"/>
    </w:lvl>
    <w:lvl w:ilvl="1">
      <w:lvlJc w:val="left"/>
      <w:lvlText w:val="%2."/>
      <w:numFmt w:val="decimal"/>
      <w:start w:val="1"/>
    </w:lvl>
  </w:abstractNum>
  <w:abstractNum w:abstractNumId="61">
    <w:nsid w:val="168E121F"/>
    <w:multiLevelType w:val="hybridMultilevel"/>
    <w:lvl w:ilvl="0">
      <w:lvlJc w:val="left"/>
      <w:lvlText w:val="%1."/>
      <w:numFmt w:val="decimal"/>
      <w:start w:val="2"/>
    </w:lvl>
    <w:lvl w:ilvl="1">
      <w:lvlJc w:val="left"/>
      <w:lvlText w:val="%2."/>
      <w:numFmt w:val="upperLetter"/>
      <w:start w:val="1"/>
    </w:lvl>
  </w:abstractNum>
  <w:abstractNum w:abstractNumId="62">
    <w:nsid w:val="1EBA5D23"/>
    <w:multiLevelType w:val="hybridMultilevel"/>
    <w:lvl w:ilvl="0">
      <w:lvlJc w:val="left"/>
      <w:lvlText w:val="%1"/>
      <w:numFmt w:val="upperLetter"/>
      <w:start w:val="1"/>
    </w:lvl>
    <w:lvl w:ilvl="1">
      <w:lvlJc w:val="left"/>
      <w:lvlText w:val="%2."/>
      <w:numFmt w:val="upperLetter"/>
      <w:start w:val="6"/>
    </w:lvl>
  </w:abstractNum>
  <w:abstractNum w:abstractNumId="63">
    <w:nsid w:val="661E3F1E"/>
    <w:multiLevelType w:val="hybridMultilevel"/>
    <w:lvl w:ilvl="0">
      <w:lvlJc w:val="left"/>
      <w:lvlText w:val="%1."/>
      <w:numFmt w:val="upperLetter"/>
      <w:start w:val="11"/>
    </w:lvl>
    <w:lvl w:ilvl="1">
      <w:lvlJc w:val="left"/>
      <w:lvlText w:val="%2"/>
      <w:numFmt w:val="upperLetter"/>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1."/>
      <w:numFmt w:val="decimal"/>
      <w:start w:val="2"/>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decimal"/>
      <w:start w:val="2"/>
    </w:lvl>
    <w:lvl w:ilvl="1">
      <w:lvlJc w:val="left"/>
      <w:lvlText w:val="•"/>
      <w:numFmt w:val="bullet"/>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3"/>
    </w:lvl>
    <w:lvl w:ilvl="1">
      <w:lvlJc w:val="left"/>
      <w:lvlText w:val="%2."/>
      <w:numFmt w:val="lowerLetter"/>
      <w:start w:val="1"/>
    </w:lvl>
  </w:abstractNum>
  <w:abstractNum w:abstractNumId="71">
    <w:nsid w:val="42963E5A"/>
    <w:multiLevelType w:val="hybridMultilevel"/>
    <w:lvl w:ilvl="0">
      <w:lvlJc w:val="left"/>
      <w:lvlText w:val="1"/>
      <w:numFmt w:val="bullet"/>
      <w:start w:val="1"/>
    </w:lvl>
  </w:abstractNum>
  <w:abstractNum w:abstractNumId="72">
    <w:nsid w:val="A0382C5"/>
    <w:multiLevelType w:val="hybridMultilevel"/>
    <w:lvl w:ilvl="0">
      <w:lvlJc w:val="left"/>
      <w:lvlText w:val="%1"/>
      <w:numFmt w:val="decimal"/>
      <w:start w:val="1"/>
    </w:lvl>
    <w:lvl w:ilvl="1">
      <w:lvlJc w:val="left"/>
      <w:lvlText w:val="%2."/>
      <w:numFmt w:val="lowerLetter"/>
      <w:start w:val="2"/>
    </w:lvl>
  </w:abstractNum>
  <w:abstractNum w:abstractNumId="73">
    <w:nsid w:val="8F2B15E"/>
    <w:multiLevelType w:val="hybridMultilevel"/>
    <w:lvl w:ilvl="0">
      <w:lvlJc w:val="left"/>
      <w:lvlText w:val="%1."/>
      <w:numFmt w:val="decimal"/>
      <w:start w:val="4"/>
    </w:lvl>
    <w:lvl w:ilvl="1">
      <w:lvlJc w:val="left"/>
      <w:lvlText w:val="%2"/>
      <w:numFmt w:val="lowerLetter"/>
      <w:start w:val="1"/>
    </w:lvl>
  </w:abstractNum>
  <w:abstractNum w:abstractNumId="74">
    <w:nsid w:val="1A32234B"/>
    <w:multiLevelType w:val="hybridMultilevel"/>
    <w:lvl w:ilvl="0">
      <w:lvlJc w:val="left"/>
      <w:lvlText w:val="%1."/>
      <w:numFmt w:val="upperLetter"/>
      <w:start w:val="12"/>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upperLetter"/>
      <w:start w:val="13"/>
    </w:lvl>
    <w:lvl w:ilvl="1">
      <w:lvlJc w:val="left"/>
      <w:lvlText w:val="●"/>
      <w:numFmt w:val="bullet"/>
      <w:start w:val="1"/>
    </w:lvl>
  </w:abstractNum>
  <w:abstractNum w:abstractNumId="77">
    <w:nsid w:val="4962813B"/>
    <w:multiLevelType w:val="hybridMultilevel"/>
    <w:lvl w:ilvl="0">
      <w:lvlJc w:val="left"/>
      <w:lvlText w:val="%1."/>
      <w:numFmt w:val="upperLetter"/>
      <w:start w:val="15"/>
    </w:lvl>
  </w:abstractNum>
  <w:abstractNum w:abstractNumId="78">
    <w:nsid w:val="60B6DF70"/>
    <w:multiLevelType w:val="hybridMultilevel"/>
    <w:lvl w:ilvl="0">
      <w:lvlJc w:val="left"/>
      <w:lvlText w:val="%1."/>
      <w:numFmt w:val="upperLetter"/>
      <w:start w:val="16"/>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6" Type="http://schemas.openxmlformats.org/officeDocument/2006/relationships/image" Target="media/image108.png"/><Relationship Id="rId143"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jpe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jpe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jpeg"/><Relationship Id="rId190" Type="http://schemas.openxmlformats.org/officeDocument/2006/relationships/image" Target="media/image138.jpeg"/><Relationship Id="rId115" Type="http://schemas.openxmlformats.org/officeDocument/2006/relationships/hyperlink" Target="http://www.sec.gov/Archives/edgar/data/101594/000143774925001631/ex_768481.htm" TargetMode="External"/><Relationship Id="rId116" Type="http://schemas.openxmlformats.org/officeDocument/2006/relationships/hyperlink" Target="http://www.sec.gov/Archives/edgar/data/101594/000149315222021362/ex3-4.htm" TargetMode="External"/><Relationship Id="rId117" Type="http://schemas.openxmlformats.org/officeDocument/2006/relationships/hyperlink" Target="http://www.sec.gov/Archives/edgar/data/101594/000149315222021362/ex3-1.htm" TargetMode="External"/><Relationship Id="rId118" Type="http://schemas.openxmlformats.org/officeDocument/2006/relationships/hyperlink" Target="http://www.sec.gov/Archives/edgar/data/101594/000149315222021362/ex3-2.htm" TargetMode="External"/><Relationship Id="rId119" Type="http://schemas.openxmlformats.org/officeDocument/2006/relationships/hyperlink" Target="http://www.sec.gov/Archives/edgar/data/101594/000149315222021362/ex3-3.htm" TargetMode="External"/><Relationship Id="rId120" Type="http://schemas.openxmlformats.org/officeDocument/2006/relationships/hyperlink" Target="http://www.sec.gov/Archives/edgar/data/101594/000149315223012144/ex4-1.htm" TargetMode="External"/><Relationship Id="rId121" Type="http://schemas.openxmlformats.org/officeDocument/2006/relationships/hyperlink" Target="http://www.sec.gov/Archives/edgar/data/101594/000149315220010927/ex10-1.htm" TargetMode="External"/><Relationship Id="rId122" Type="http://schemas.openxmlformats.org/officeDocument/2006/relationships/hyperlink" Target="http://www.sec.gov/Archives/edgar/data/101594/000010159413000008/exhibit10-5_1.htm" TargetMode="External"/><Relationship Id="rId123" Type="http://schemas.openxmlformats.org/officeDocument/2006/relationships/hyperlink" Target="http://www.sec.gov/Archives/edgar/data/101594/000149315218004053/ex10-8i.htm" TargetMode="External"/><Relationship Id="rId124" Type="http://schemas.openxmlformats.org/officeDocument/2006/relationships/hyperlink" Target="http://www.sec.gov/Archives/edgar/data/101594/000149315218004053/ex10-8j.htm" TargetMode="External"/><Relationship Id="rId125" Type="http://schemas.openxmlformats.org/officeDocument/2006/relationships/hyperlink" Target="http://www.sec.gov/Archives/edgar/data/101594/000149315221015546/ex10-1.htm" TargetMode="External"/><Relationship Id="rId127" Type="http://schemas.openxmlformats.org/officeDocument/2006/relationships/hyperlink" Target="http://www.sec.gov/Archives/edgar/data/101594/000149315221031138/ex10-2.htm" TargetMode="External"/><Relationship Id="rId128" Type="http://schemas.openxmlformats.org/officeDocument/2006/relationships/hyperlink" Target="http://www.sec.gov/Archives/edgar/data/101594/000149315221031138/ex10-3.htm" TargetMode="External"/><Relationship Id="rId129" Type="http://schemas.openxmlformats.org/officeDocument/2006/relationships/hyperlink" Target="http://www.sec.gov/Archives/edgar/data/101594/000149315222000753/ex10-1.htm" TargetMode="External"/><Relationship Id="rId130" Type="http://schemas.openxmlformats.org/officeDocument/2006/relationships/hyperlink" Target="http://www.sec.gov/Archives/edgar/data/101594/000149315222000753/ex10-2.htm" TargetMode="External"/><Relationship Id="rId131" Type="http://schemas.openxmlformats.org/officeDocument/2006/relationships/hyperlink" Target="http://www.sec.gov/Archives/edgar/data/101594/000149315222000753/ex10-6.htm" TargetMode="External"/><Relationship Id="rId132" Type="http://schemas.openxmlformats.org/officeDocument/2006/relationships/hyperlink" Target="http://www.sec.gov/Archives/edgar/data/101594/000149315222000753/ex10-7.htm" TargetMode="External"/><Relationship Id="rId133" Type="http://schemas.openxmlformats.org/officeDocument/2006/relationships/hyperlink" Target="http://www.sec.gov/Archives/edgar/data/101594/000149315222000753/ex10-8.htm" TargetMode="External"/><Relationship Id="rId134" Type="http://schemas.openxmlformats.org/officeDocument/2006/relationships/hyperlink" Target="http://www.sec.gov/Archives/edgar/data/101594/000149315222000753/ex10-9.htm" TargetMode="External"/><Relationship Id="rId135" Type="http://schemas.openxmlformats.org/officeDocument/2006/relationships/hyperlink" Target="http://www.sec.gov/Archives/edgar/data/101594/000149315222000753/ex10-10.htm" TargetMode="External"/><Relationship Id="rId136" Type="http://schemas.openxmlformats.org/officeDocument/2006/relationships/hyperlink" Target="http://www.sec.gov/Archives/edgar/data/101594/000149315222000753/ex10-11.htm" TargetMode="External"/><Relationship Id="rId137" Type="http://schemas.openxmlformats.org/officeDocument/2006/relationships/hyperlink" Target="http://www.sec.gov/Archives/edgar/data/101594/000149315222001952/ex10-12.htm" TargetMode="External"/><Relationship Id="rId138" Type="http://schemas.openxmlformats.org/officeDocument/2006/relationships/hyperlink" Target="http://www.sec.gov/Archives/edgar/data/101594/000149315222001952/ex10-13.htm" TargetMode="External"/><Relationship Id="rId139" Type="http://schemas.openxmlformats.org/officeDocument/2006/relationships/hyperlink" Target="http://www.sec.gov/Archives/edgar/data/101594/000149315222020474/ex10-3.htm" TargetMode="External"/><Relationship Id="rId140" Type="http://schemas.openxmlformats.org/officeDocument/2006/relationships/hyperlink" Target="http://www.sec.gov/Archives/edgar/data/101594/000149315222026081/ex10-1.htm" TargetMode="External"/><Relationship Id="rId141" Type="http://schemas.openxmlformats.org/officeDocument/2006/relationships/hyperlink" Target="http://www.sec.gov/Archives/edgar/data/101594/000149315222024967/ex10-1.htm" TargetMode="External"/><Relationship Id="rId142" Type="http://schemas.openxmlformats.org/officeDocument/2006/relationships/hyperlink" Target="http://www.sec.gov/Archives/edgar/data/101594/000149315222017379/ex10-1.htm" TargetMode="External"/><Relationship Id="rId144" Type="http://schemas.openxmlformats.org/officeDocument/2006/relationships/hyperlink" Target="http://www.sec.gov/Archives/edgar/data/101594/000149315222024990/ex4-2.htm" TargetMode="External"/><Relationship Id="rId145" Type="http://schemas.openxmlformats.org/officeDocument/2006/relationships/hyperlink" Target="http://www.sec.gov/Archives/edgar/data/101594/000149315222024990/ex4-3.htm" TargetMode="External"/><Relationship Id="rId146" Type="http://schemas.openxmlformats.org/officeDocument/2006/relationships/hyperlink" Target="http://www.sec.gov/Archives/edgar/data/101594/000149315222012291/ex10-1.htm" TargetMode="External"/><Relationship Id="rId147" Type="http://schemas.openxmlformats.org/officeDocument/2006/relationships/hyperlink" Target="http://www.sec.gov/Archives/edgar/data/101594/000149315223020112/ex10-2.htm" TargetMode="External"/><Relationship Id="rId148" Type="http://schemas.openxmlformats.org/officeDocument/2006/relationships/hyperlink" Target="http://www.sec.gov/Archives/edgar/data/101594/000149315223026325/ex10-1.htm" TargetMode="External"/><Relationship Id="rId149" Type="http://schemas.openxmlformats.org/officeDocument/2006/relationships/hyperlink" Target="http://www.sec.gov/Archives/edgar/data/101594/000143774924008775/ex_642810.htm" TargetMode="External"/><Relationship Id="rId150" Type="http://schemas.openxmlformats.org/officeDocument/2006/relationships/hyperlink" Target="http://www.sec.gov/Archives/edgar/data/101594/000143774924022675/ex_697505.htm" TargetMode="External"/><Relationship Id="rId151" Type="http://schemas.openxmlformats.org/officeDocument/2006/relationships/hyperlink" Target="http://www.sec.gov/Archives/edgar/data/101594/000143774924026950/ex_715229.htm" TargetMode="External"/><Relationship Id="rId152" Type="http://schemas.openxmlformats.org/officeDocument/2006/relationships/hyperlink" Target="http://www.sec.gov/Archives/edgar/data/101594/000143774924037399/ex_756204.htm" TargetMode="External"/><Relationship Id="rId153" Type="http://schemas.openxmlformats.org/officeDocument/2006/relationships/hyperlink" Target="http://www.sec.gov/Archives/edgar/data/101594/000143774925000795/ex_762873.htm" TargetMode="External"/><Relationship Id="rId154" Type="http://schemas.openxmlformats.org/officeDocument/2006/relationships/hyperlink" Target="http://www.sec.gov/Archives/edgar/data/101594/000143774925002073/ex_771881.htm" TargetMode="External"/><Relationship Id="rId155" Type="http://schemas.openxmlformats.org/officeDocument/2006/relationships/hyperlink" Target="http://www.sec.gov/Archives/edgar/data/101594/000143774925029515/ex_862565.htm" TargetMode="External"/><Relationship Id="rId156" Type="http://schemas.openxmlformats.org/officeDocument/2006/relationships/hyperlink" Target="http://www.sec.gov/Archives/edgar/data/101594/000143774925030792/ex_866588.htm" TargetMode="External"/><Relationship Id="rId157" Type="http://schemas.openxmlformats.org/officeDocument/2006/relationships/hyperlink" Target="http://www.sec.gov/Archives/edgar/data/101594/000143774925030792/ex_866589.htm" TargetMode="External"/><Relationship Id="rId158" Type="http://schemas.openxmlformats.org/officeDocument/2006/relationships/hyperlink" Target="http://www.sec.gov/Archives/edgar/data/101594/000149315219011992/ex14-1.htm" TargetMode="External"/><Relationship Id="rId159" Type="http://schemas.openxmlformats.org/officeDocument/2006/relationships/hyperlink" Target="http://www.sec.gov/Archives/edgar/data/101594/000149315223021683/ex16-1.htm" TargetMode="External"/><Relationship Id="rId160" Type="http://schemas.openxmlformats.org/officeDocument/2006/relationships/hyperlink" Target="http://www.sec.gov/Archives/edgar/data/101594/000143774923031623/ex_590917.htm" TargetMode="External"/><Relationship Id="rId161" Type="http://schemas.openxmlformats.org/officeDocument/2006/relationships/hyperlink" Target="http://www.sec.gov/Archives/edgar/data/101594/000149315222021362/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2026-03-13T07:09:59Z</dcterms:created>
  <dcterms:modified xsi:type="dcterms:W3CDTF">2026-03-13T07:09:59Z</dcterms:modified>
</cp:coreProperties>
</file>