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sin20260613_10q.htm"/>
      <w:bookmarkStart w:id="1" w:name="ksbsin20260613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QUARTERLY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96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 to 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b/>
          <w:caps w:val="false"/>
          <w:smallCaps w:val="false"/>
          <w:sz w:val="20"/>
        </w:rPr>
        <w:t>000-06814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3438525"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885825"/>
                    </a:xfrm>
                    <a:prstGeom prst="rect">
                      <a:avLst/>
                    </a:prstGeom>
                  </pic:spPr>
                </pic:pic>
              </a:graphicData>
            </a:graphic>
          </wp:inline>
        </w:drawing>
      </w: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28" w:type="dxa"/>
          <w:right w:w="0" w:type="dxa"/>
        </w:tblCellMar>
      </w:tblPr>
      <w:tblGrid>
        <w:gridCol w:w="248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83-0205516</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28" w:type="dxa"/>
          <w:right w:w="0" w:type="dxa"/>
        </w:tblCellMar>
      </w:tblPr>
      <w:tblGrid>
        <w:gridCol w:w="3830"/>
        <w:gridCol w:w="60"/>
        <w:gridCol w:w="905"/>
      </w:tblGrid>
      <w:tr>
        <w:trPr/>
        <w:tc>
          <w:tcPr>
            <w:tcW w:w="38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1616 S. Voss Road, Suite 725, Houston, Texas</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77057</w:t>
            </w:r>
          </w:p>
        </w:tc>
      </w:tr>
      <w:tr>
        <w:trPr/>
        <w:tc>
          <w:tcPr>
            <w:tcW w:w="38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(346) 509-8734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U.S. Energy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2690"/>
        <w:gridCol w:w="60"/>
        <w:gridCol w:w="1505"/>
        <w:gridCol w:w="60"/>
        <w:gridCol w:w="3575"/>
      </w:tblGrid>
      <w:tr>
        <w:trPr/>
        <w:tc>
          <w:tcPr>
            <w:tcW w:w="26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9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$0.01</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BSIN</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 Stock Market LLC</w:t>
            </w:r>
            <w:r>
              <w:rPr>
                <w:rFonts w:ascii="Times New Roman" w:hAnsi="Times New Roman"/>
                <w:caps w:val="false"/>
                <w:smallCaps w:val="false"/>
                <w:sz w:val="20"/>
              </w:rPr>
              <w:br/>
            </w:r>
            <w:r>
              <w:rPr>
                <w:rFonts w:ascii="Times New Roman" w:hAnsi="Times New Roman"/>
                <w:b/>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 had 52,493,428 shares of its common stock, par value $0.01 per share, outstanding as of August 4, 2026.</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u w:val="single"/>
        </w:rPr>
      </w:pPr>
      <w:bookmarkStart w:id="2" w:name="toc"/>
      <w:bookmarkEnd w:id="2"/>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10"/>
        <w:gridCol w:w="7280"/>
        <w:gridCol w:w="440"/>
      </w:tblGrid>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990" w:type="dxa"/>
            <w:gridSpan w:val="2"/>
            <w:tcBorders/>
            <w:vAlign w:val="center"/>
          </w:tcPr>
          <w:p>
            <w:pPr>
              <w:pStyle w:val="TableContents"/>
              <w:bidi w:val="0"/>
              <w:spacing w:before="0" w:after="0"/>
              <w:ind w:left="0" w:right="0" w:hanging="0"/>
              <w:jc w:val="left"/>
              <w:rPr/>
            </w:pPr>
            <w:hyperlink w:anchor="cautionary">
              <w:r>
                <w:rPr>
                  <w:rStyle w:val="InternetLink"/>
                  <w:rFonts w:ascii="Times New Roman" w:hAnsi="Times New Roman"/>
                  <w:caps w:val="false"/>
                  <w:smallCaps w:val="false"/>
                  <w:sz w:val="20"/>
                </w:rPr>
                <w:t>Cautionary Note About Forward-Looking Statements</w:t>
              </w:r>
            </w:hyperlink>
          </w:p>
        </w:tc>
        <w:tc>
          <w:tcPr>
            <w:tcW w:w="440" w:type="dxa"/>
            <w:tcBorders/>
            <w:vAlign w:val="center"/>
          </w:tcPr>
          <w:p>
            <w:pPr>
              <w:pStyle w:val="TableContents"/>
              <w:bidi w:val="0"/>
              <w:spacing w:before="0" w:after="0"/>
              <w:ind w:left="0" w:right="0" w:hanging="0"/>
              <w:jc w:val="center"/>
              <w:rPr/>
            </w:pPr>
            <w:hyperlink w:anchor="cautionary">
              <w:r>
                <w:rPr>
                  <w:rStyle w:val="InternetLink"/>
                  <w:rFonts w:ascii="Times New Roman" w:hAnsi="Times New Roman"/>
                  <w:caps w:val="false"/>
                  <w:smallCaps w:val="false"/>
                  <w:sz w:val="20"/>
                </w:rPr>
                <w:t>3</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80" w:type="dxa"/>
            <w:tcBorders/>
            <w:vAlign w:val="center"/>
          </w:tcPr>
          <w:p>
            <w:pPr>
              <w:pStyle w:val="TableContents"/>
              <w:bidi w:val="0"/>
              <w:spacing w:before="0" w:after="0"/>
              <w:ind w:left="0" w:right="0" w:hanging="0"/>
              <w:jc w:val="left"/>
              <w:rPr/>
            </w:pPr>
            <w:hyperlink w:anchor="partonefininfo">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0"/>
              <w:ind w:left="0" w:right="0" w:hanging="0"/>
              <w:jc w:val="center"/>
              <w:rPr/>
            </w:pPr>
            <w:hyperlink w:anchor="partonefininfo">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Financial Statements</w:t>
              </w:r>
            </w:hyperlink>
          </w:p>
        </w:tc>
        <w:tc>
          <w:tcPr>
            <w:tcW w:w="440" w:type="dxa"/>
            <w:tcBorders/>
            <w:vAlign w:val="center"/>
          </w:tcPr>
          <w:p>
            <w:pPr>
              <w:pStyle w:val="TableContents"/>
              <w:bidi w:val="0"/>
              <w:spacing w:before="0" w:after="0"/>
              <w:ind w:left="0" w:right="0" w:hanging="0"/>
              <w:jc w:val="center"/>
              <w:rPr/>
            </w:pPr>
            <w:hyperlink w:anchor="finstmts">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 (unaudited)</w:t>
              </w:r>
            </w:hyperlink>
          </w:p>
        </w:tc>
        <w:tc>
          <w:tcPr>
            <w:tcW w:w="440" w:type="dxa"/>
            <w:tcBorders/>
            <w:vAlign w:val="center"/>
          </w:tcPr>
          <w:p>
            <w:pPr>
              <w:pStyle w:val="TableContents"/>
              <w:bidi w:val="0"/>
              <w:spacing w:before="0" w:after="0"/>
              <w:ind w:left="0" w:right="0" w:hanging="0"/>
              <w:jc w:val="center"/>
              <w:rPr/>
            </w:pPr>
            <w:hyperlink w:anchor="bs">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Condensed Consolidated Statements of Operations (unaudited)</w:t>
              </w:r>
            </w:hyperlink>
          </w:p>
        </w:tc>
        <w:tc>
          <w:tcPr>
            <w:tcW w:w="440" w:type="dxa"/>
            <w:tcBorders/>
            <w:vAlign w:val="center"/>
          </w:tcPr>
          <w:p>
            <w:pPr>
              <w:pStyle w:val="TableContents"/>
              <w:bidi w:val="0"/>
              <w:spacing w:before="0" w:after="0"/>
              <w:ind w:left="0" w:right="0" w:hanging="0"/>
              <w:jc w:val="center"/>
              <w:rPr/>
            </w:pPr>
            <w:hyperlink w:anchor="ops">
              <w:r>
                <w:rPr>
                  <w:rStyle w:val="InternetLink"/>
                  <w:rFonts w:ascii="Times New Roman" w:hAnsi="Times New Roman"/>
                  <w:caps w:val="false"/>
                  <w:smallCaps w:val="false"/>
                  <w:sz w:val="20"/>
                </w:rPr>
                <w:t>6</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Condensed Consolidated Statements of Changes in Shareholders’ Equity (unaudited)</w:t>
              </w:r>
            </w:hyperlink>
          </w:p>
        </w:tc>
        <w:tc>
          <w:tcPr>
            <w:tcW w:w="440" w:type="dxa"/>
            <w:tcBorders/>
            <w:vAlign w:val="center"/>
          </w:tcPr>
          <w:p>
            <w:pPr>
              <w:pStyle w:val="TableContents"/>
              <w:bidi w:val="0"/>
              <w:spacing w:before="0" w:after="0"/>
              <w:ind w:left="0" w:right="0" w:hanging="0"/>
              <w:jc w:val="center"/>
              <w:rPr/>
            </w:pPr>
            <w:hyperlink w:anchor="se">
              <w:r>
                <w:rPr>
                  <w:rStyle w:val="InternetLink"/>
                  <w:rFonts w:ascii="Times New Roman" w:hAnsi="Times New Roman"/>
                  <w:caps w:val="false"/>
                  <w:smallCaps w:val="false"/>
                  <w:sz w:val="20"/>
                </w:rPr>
                <w:t>7</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Condensed Consolidated Statements of Cash Flows (unaudited)</w:t>
              </w:r>
            </w:hyperlink>
          </w:p>
        </w:tc>
        <w:tc>
          <w:tcPr>
            <w:tcW w:w="440" w:type="dxa"/>
            <w:tcBorders/>
            <w:vAlign w:val="center"/>
          </w:tcPr>
          <w:p>
            <w:pPr>
              <w:pStyle w:val="TableContents"/>
              <w:bidi w:val="0"/>
              <w:spacing w:before="0" w:after="0"/>
              <w:ind w:left="0" w:right="0" w:hanging="0"/>
              <w:jc w:val="center"/>
              <w:rPr/>
            </w:pPr>
            <w:hyperlink w:anchor="cf">
              <w:r>
                <w:rPr>
                  <w:rStyle w:val="InternetLink"/>
                  <w:rFonts w:ascii="Times New Roman" w:hAnsi="Times New Roman"/>
                  <w:caps w:val="false"/>
                  <w:smallCaps w:val="false"/>
                  <w:sz w:val="20"/>
                </w:rPr>
                <w:t>8</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9</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center"/>
              <w:rPr/>
            </w:pPr>
            <w:hyperlink w:anchor="mda">
              <w:r>
                <w:rPr>
                  <w:rStyle w:val="InternetLink"/>
                  <w:rFonts w:ascii="Times New Roman" w:hAnsi="Times New Roman"/>
                  <w:caps w:val="false"/>
                  <w:smallCaps w:val="false"/>
                  <w:sz w:val="20"/>
                </w:rPr>
                <w:t>22</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uant">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center"/>
              <w:rPr/>
            </w:pPr>
            <w:hyperlink w:anchor="quant">
              <w:r>
                <w:rPr>
                  <w:rStyle w:val="InternetLink"/>
                  <w:rFonts w:ascii="Times New Roman" w:hAnsi="Times New Roman"/>
                  <w:caps w:val="false"/>
                  <w:smallCaps w:val="false"/>
                  <w:sz w:val="20"/>
                </w:rPr>
                <w:t>30</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center"/>
              <w:rPr/>
            </w:pPr>
            <w:hyperlink w:anchor="controls">
              <w:r>
                <w:rPr>
                  <w:rStyle w:val="InternetLink"/>
                  <w:rFonts w:ascii="Times New Roman" w:hAnsi="Times New Roman"/>
                  <w:caps w:val="false"/>
                  <w:smallCaps w:val="false"/>
                  <w:sz w:val="20"/>
                </w:rPr>
                <w:t>30</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80" w:type="dxa"/>
            <w:tcBorders/>
            <w:vAlign w:val="center"/>
          </w:tcPr>
          <w:p>
            <w:pPr>
              <w:pStyle w:val="TableContents"/>
              <w:bidi w:val="0"/>
              <w:spacing w:before="0" w:after="0"/>
              <w:ind w:left="0" w:right="0" w:hanging="0"/>
              <w:jc w:val="left"/>
              <w:rPr/>
            </w:pPr>
            <w:hyperlink w:anchor="parttwo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center"/>
              <w:rPr/>
            </w:pPr>
            <w:hyperlink w:anchor="parttwootherinfo">
              <w:r>
                <w:rPr>
                  <w:rStyle w:val="InternetLink"/>
                  <w:rFonts w:ascii="Times New Roman" w:hAnsi="Times New Roman"/>
                  <w:caps w:val="false"/>
                  <w:smallCaps w:val="false"/>
                  <w:sz w:val="20"/>
                </w:rPr>
                <w:t>31</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rPr>
                <w:t>31</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factors">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center"/>
              <w:rPr/>
            </w:pPr>
            <w:hyperlink w:anchor="riskfactors">
              <w:r>
                <w:rPr>
                  <w:rStyle w:val="InternetLink"/>
                  <w:rFonts w:ascii="Times New Roman" w:hAnsi="Times New Roman"/>
                  <w:caps w:val="false"/>
                  <w:smallCaps w:val="false"/>
                  <w:sz w:val="20"/>
                </w:rPr>
                <w:t>31</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center"/>
              <w:rPr/>
            </w:pPr>
            <w:hyperlink w:anchor="Unregistered">
              <w:r>
                <w:rPr>
                  <w:rStyle w:val="InternetLink"/>
                  <w:rFonts w:ascii="Times New Roman" w:hAnsi="Times New Roman"/>
                  <w:caps w:val="false"/>
                  <w:smallCaps w:val="false"/>
                  <w:sz w:val="20"/>
                </w:rPr>
                <w:t>32</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center"/>
              <w:rPr/>
            </w:pPr>
            <w:hyperlink w:anchor="defaults">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center"/>
              <w:rPr/>
            </w:pPr>
            <w:hyperlink w:anchor="mine">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8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center"/>
              <w:rPr/>
            </w:pPr>
            <w:hyperlink w:anchor="otherinfo">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center"/>
              <w:rPr/>
            </w:pPr>
            <w:hyperlink w:anchor="exhibits">
              <w:r>
                <w:rPr>
                  <w:rStyle w:val="InternetLink"/>
                  <w:rFonts w:ascii="Times New Roman" w:hAnsi="Times New Roman"/>
                  <w:caps w:val="false"/>
                  <w:smallCaps w:val="false"/>
                  <w:sz w:val="20"/>
                </w:rPr>
                <w:t>34</w:t>
              </w:r>
            </w:hyperlink>
          </w:p>
        </w:tc>
      </w:tr>
      <w:tr>
        <w:trPr/>
        <w:tc>
          <w:tcPr>
            <w:tcW w:w="71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7990"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0"/>
              <w:ind w:left="0" w:right="0" w:hanging="0"/>
              <w:jc w:val="center"/>
              <w:rPr/>
            </w:pPr>
            <w:hyperlink w:anchor="sigs">
              <w:r>
                <w:rPr>
                  <w:rStyle w:val="InternetLink"/>
                  <w:rFonts w:ascii="Times New Roman" w:hAnsi="Times New Roman"/>
                  <w:caps w:val="false"/>
                  <w:smallCaps w:val="false"/>
                  <w:sz w:val="20"/>
                </w:rPr>
                <w:t>35</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cautionary"/>
      <w:bookmarkEnd w:id="3"/>
      <w:r>
        <w:rPr>
          <w:rFonts w:ascii="Times New Roman" w:hAnsi="Times New Roman"/>
          <w:b/>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(this “Report” or “Form 10-Q”), including “Management’s Discussion and Analysis of Financial Condition and Results of Operations,” contains “forward-looking statements” within the meaning of the federal securities laws, including Section 27A of the Securities Act of 1933, as amended, Section 21E of the Securities Exchange Act of 1934, as amended (the “Exchange Act”) and the Private Securities Litigation Reform Act of 1995. All statements other than statements of historical facts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Examples of forward-looking statements in this Report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planned capital expenditures for industrial gas, oil and natural gas exploration, development and environmental compliance;</w:t>
            </w:r>
          </w:p>
        </w:tc>
      </w:tr>
    </w:tbl>
    <w:p>
      <w:pPr>
        <w:pStyle w:val="TextBody"/>
        <w:bidi w:val="0"/>
        <w:spacing w:before="0" w:after="0"/>
        <w:ind w:left="0" w:right="0" w:hanging="0"/>
        <w:jc w:val="both"/>
        <w:rPr/>
      </w:pPr>
      <w:r>
        <w:rPr/>
        <w:t> </w:t>
      </w:r>
    </w:p>
    <w:tbl>
      <w:tblPr>
        <w:tblW w:w="7840" w:type="dxa"/>
        <w:jc w:val="left"/>
        <w:tblInd w:w="0" w:type="dxa"/>
        <w:tblLayout w:type="fixed"/>
        <w:tblCellMar>
          <w:top w:w="0" w:type="dxa"/>
          <w:left w:w="0" w:type="dxa"/>
          <w:bottom w:w="0" w:type="dxa"/>
          <w:right w:w="0" w:type="dxa"/>
        </w:tblCellMar>
      </w:tblPr>
      <w:tblGrid>
        <w:gridCol w:w="170"/>
        <w:gridCol w:w="76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drilling locations and available spacing units, and possible changes in spacing rules;</w:t>
            </w:r>
          </w:p>
        </w:tc>
      </w:tr>
    </w:tbl>
    <w:p>
      <w:pPr>
        <w:pStyle w:val="TextBody"/>
        <w:bidi w:val="0"/>
        <w:spacing w:before="0" w:after="0"/>
        <w:ind w:left="0" w:right="0" w:hanging="0"/>
        <w:jc w:val="both"/>
        <w:rPr/>
      </w:pPr>
      <w:r>
        <w:rPr/>
        <w:t> </w:t>
      </w:r>
    </w:p>
    <w:tbl>
      <w:tblPr>
        <w:tblW w:w="7165" w:type="dxa"/>
        <w:jc w:val="left"/>
        <w:tblInd w:w="0" w:type="dxa"/>
        <w:tblLayout w:type="fixed"/>
        <w:tblCellMar>
          <w:top w:w="0" w:type="dxa"/>
          <w:left w:w="0" w:type="dxa"/>
          <w:bottom w:w="0" w:type="dxa"/>
          <w:right w:w="0" w:type="dxa"/>
        </w:tblCellMar>
      </w:tblPr>
      <w:tblGrid>
        <w:gridCol w:w="170"/>
        <w:gridCol w:w="699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expected to be available for capital expenditures and to satisfy other obligations;</w:t>
            </w:r>
          </w:p>
        </w:tc>
      </w:tr>
    </w:tbl>
    <w:p>
      <w:pPr>
        <w:pStyle w:val="TextBody"/>
        <w:bidi w:val="0"/>
        <w:spacing w:before="0" w:after="0"/>
        <w:ind w:left="0" w:right="0" w:hanging="0"/>
        <w:jc w:val="both"/>
        <w:rPr/>
      </w:pPr>
      <w:r>
        <w:rPr/>
        <w:t> </w:t>
      </w:r>
    </w:p>
    <w:tbl>
      <w:tblPr>
        <w:tblW w:w="8590" w:type="dxa"/>
        <w:jc w:val="left"/>
        <w:tblInd w:w="0" w:type="dxa"/>
        <w:tblLayout w:type="fixed"/>
        <w:tblCellMar>
          <w:top w:w="0" w:type="dxa"/>
          <w:left w:w="0" w:type="dxa"/>
          <w:bottom w:w="0" w:type="dxa"/>
          <w:right w:w="0" w:type="dxa"/>
        </w:tblCellMar>
      </w:tblPr>
      <w:tblGrid>
        <w:gridCol w:w="170"/>
        <w:gridCol w:w="842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recovered volumes and values of industrial gas, oil and natural gas approximating third-party estimates;</w:t>
            </w:r>
          </w:p>
        </w:tc>
      </w:tr>
    </w:tbl>
    <w:p>
      <w:pPr>
        <w:pStyle w:val="TextBody"/>
        <w:bidi w:val="0"/>
        <w:spacing w:before="0" w:after="0"/>
        <w:ind w:left="0" w:right="0" w:hanging="0"/>
        <w:jc w:val="both"/>
        <w:rPr/>
      </w:pPr>
      <w:r>
        <w:rPr/>
        <w:t> </w:t>
      </w:r>
    </w:p>
    <w:tbl>
      <w:tblPr>
        <w:tblW w:w="7525" w:type="dxa"/>
        <w:jc w:val="left"/>
        <w:tblInd w:w="0" w:type="dxa"/>
        <w:tblLayout w:type="fixed"/>
        <w:tblCellMar>
          <w:top w:w="0" w:type="dxa"/>
          <w:left w:w="0" w:type="dxa"/>
          <w:bottom w:w="0" w:type="dxa"/>
          <w:right w:w="0" w:type="dxa"/>
        </w:tblCellMar>
      </w:tblPr>
      <w:tblGrid>
        <w:gridCol w:w="170"/>
        <w:gridCol w:w="735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anticipated changes in oil and natural gas production and future industrial gas production;</w:t>
            </w:r>
          </w:p>
        </w:tc>
      </w:tr>
    </w:tbl>
    <w:p>
      <w:pPr>
        <w:pStyle w:val="TextBody"/>
        <w:bidi w:val="0"/>
        <w:spacing w:before="0" w:after="0"/>
        <w:ind w:left="0" w:right="0" w:hanging="0"/>
        <w:jc w:val="both"/>
        <w:rPr/>
      </w:pPr>
      <w:r>
        <w:rPr/>
        <w:t> </w:t>
      </w:r>
    </w:p>
    <w:tbl>
      <w:tblPr>
        <w:tblW w:w="4465" w:type="dxa"/>
        <w:jc w:val="left"/>
        <w:tblInd w:w="0" w:type="dxa"/>
        <w:tblLayout w:type="fixed"/>
        <w:tblCellMar>
          <w:top w:w="0" w:type="dxa"/>
          <w:left w:w="0" w:type="dxa"/>
          <w:bottom w:w="0" w:type="dxa"/>
          <w:right w:w="0" w:type="dxa"/>
        </w:tblCellMar>
      </w:tblPr>
      <w:tblGrid>
        <w:gridCol w:w="170"/>
        <w:gridCol w:w="429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2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drilling and completion activities and opportunities;</w:t>
            </w:r>
          </w:p>
        </w:tc>
      </w:tr>
    </w:tbl>
    <w:p>
      <w:pPr>
        <w:pStyle w:val="TextBody"/>
        <w:bidi w:val="0"/>
        <w:spacing w:before="0" w:after="0"/>
        <w:ind w:left="0" w:right="0" w:hanging="0"/>
        <w:jc w:val="both"/>
        <w:rPr/>
      </w:pPr>
      <w:r>
        <w:rPr/>
        <w:t> </w:t>
      </w:r>
    </w:p>
    <w:tbl>
      <w:tblPr>
        <w:tblW w:w="7900" w:type="dxa"/>
        <w:jc w:val="left"/>
        <w:tblInd w:w="0" w:type="dxa"/>
        <w:tblLayout w:type="fixed"/>
        <w:tblCellMar>
          <w:top w:w="0" w:type="dxa"/>
          <w:left w:w="0" w:type="dxa"/>
          <w:bottom w:w="0" w:type="dxa"/>
          <w:right w:w="0" w:type="dxa"/>
        </w:tblCellMar>
      </w:tblPr>
      <w:tblGrid>
        <w:gridCol w:w="170"/>
        <w:gridCol w:w="773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timing of drilling additional wells and performing other exploration and development projects;</w:t>
            </w:r>
          </w:p>
        </w:tc>
      </w:tr>
    </w:tbl>
    <w:p>
      <w:pPr>
        <w:pStyle w:val="TextBody"/>
        <w:bidi w:val="0"/>
        <w:spacing w:before="0" w:after="0"/>
        <w:ind w:left="0" w:right="0" w:hanging="0"/>
        <w:jc w:val="both"/>
        <w:rPr/>
      </w:pPr>
      <w:r>
        <w:rPr/>
        <w:t> </w:t>
      </w:r>
    </w:p>
    <w:tbl>
      <w:tblPr>
        <w:tblW w:w="6805" w:type="dxa"/>
        <w:jc w:val="left"/>
        <w:tblInd w:w="0" w:type="dxa"/>
        <w:tblLayout w:type="fixed"/>
        <w:tblCellMar>
          <w:top w:w="0" w:type="dxa"/>
          <w:left w:w="0" w:type="dxa"/>
          <w:bottom w:w="0" w:type="dxa"/>
          <w:right w:w="0" w:type="dxa"/>
        </w:tblCellMar>
      </w:tblPr>
      <w:tblGrid>
        <w:gridCol w:w="170"/>
        <w:gridCol w:w="66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spacing and the number of wells to be drilled with our industry partners;</w:t>
            </w:r>
          </w:p>
        </w:tc>
      </w:tr>
    </w:tbl>
    <w:p>
      <w:pPr>
        <w:pStyle w:val="TextBody"/>
        <w:bidi w:val="0"/>
        <w:spacing w:before="0" w:after="0"/>
        <w:ind w:left="0" w:right="0" w:hanging="0"/>
        <w:jc w:val="both"/>
        <w:rPr/>
      </w:pPr>
      <w:r>
        <w:rPr/>
        <w:t> </w:t>
      </w:r>
    </w:p>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when payout-based milestones or similar thresholds will be reached for the purposes of our agreements with our partners;</w:t>
            </w:r>
          </w:p>
        </w:tc>
      </w:tr>
    </w:tbl>
    <w:p>
      <w:pPr>
        <w:pStyle w:val="TextBody"/>
        <w:bidi w:val="0"/>
        <w:spacing w:before="0" w:after="0"/>
        <w:ind w:left="0" w:right="0" w:hanging="0"/>
        <w:jc w:val="both"/>
        <w:rPr/>
      </w:pPr>
      <w:r>
        <w:rPr/>
        <w:t> </w:t>
      </w:r>
    </w:p>
    <w:tbl>
      <w:tblPr>
        <w:tblW w:w="9370" w:type="dxa"/>
        <w:jc w:val="left"/>
        <w:tblInd w:w="0" w:type="dxa"/>
        <w:tblLayout w:type="fixed"/>
        <w:tblCellMar>
          <w:top w:w="0" w:type="dxa"/>
          <w:left w:w="0" w:type="dxa"/>
          <w:bottom w:w="0" w:type="dxa"/>
          <w:right w:w="0" w:type="dxa"/>
        </w:tblCellMar>
      </w:tblPr>
      <w:tblGrid>
        <w:gridCol w:w="170"/>
        <w:gridCol w:w="920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working and net revenue interests, and costs of wells, relating to the drilling programs with our partners;</w:t>
            </w:r>
          </w:p>
        </w:tc>
      </w:tr>
    </w:tbl>
    <w:p>
      <w:pPr>
        <w:pStyle w:val="TextBody"/>
        <w:bidi w:val="0"/>
        <w:spacing w:before="0" w:after="0"/>
        <w:ind w:left="0" w:right="0" w:hanging="0"/>
        <w:jc w:val="both"/>
        <w:rPr/>
      </w:pPr>
      <w:r>
        <w:rPr/>
        <w:t> </w:t>
      </w:r>
    </w:p>
    <w:tbl>
      <w:tblPr>
        <w:tblW w:w="3430" w:type="dxa"/>
        <w:jc w:val="left"/>
        <w:tblInd w:w="0" w:type="dxa"/>
        <w:tblLayout w:type="fixed"/>
        <w:tblCellMar>
          <w:top w:w="0" w:type="dxa"/>
          <w:left w:w="0" w:type="dxa"/>
          <w:bottom w:w="0" w:type="dxa"/>
          <w:right w:w="0" w:type="dxa"/>
        </w:tblCellMar>
      </w:tblPr>
      <w:tblGrid>
        <w:gridCol w:w="170"/>
        <w:gridCol w:w="326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decline rates for producing wells;</w:t>
            </w:r>
          </w:p>
        </w:tc>
      </w:tr>
    </w:tbl>
    <w:p>
      <w:pPr>
        <w:pStyle w:val="TextBody"/>
        <w:bidi w:val="0"/>
        <w:spacing w:before="0" w:after="0"/>
        <w:ind w:left="0" w:right="0" w:hanging="0"/>
        <w:jc w:val="both"/>
        <w:rPr/>
      </w:pPr>
      <w:r>
        <w:rPr/>
        <w:t> </w:t>
      </w:r>
    </w:p>
    <w:tbl>
      <w:tblPr>
        <w:tblW w:w="3745" w:type="dxa"/>
        <w:jc w:val="left"/>
        <w:tblInd w:w="0" w:type="dxa"/>
        <w:tblLayout w:type="fixed"/>
        <w:tblCellMar>
          <w:top w:w="0" w:type="dxa"/>
          <w:left w:w="0" w:type="dxa"/>
          <w:bottom w:w="0" w:type="dxa"/>
          <w:right w:w="0" w:type="dxa"/>
        </w:tblCellMar>
      </w:tblPr>
      <w:tblGrid>
        <w:gridCol w:w="170"/>
        <w:gridCol w:w="357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cash flows, expenses and borrowings;</w:t>
            </w:r>
          </w:p>
        </w:tc>
      </w:tr>
    </w:tbl>
    <w:p>
      <w:pPr>
        <w:pStyle w:val="TextBody"/>
        <w:bidi w:val="0"/>
        <w:spacing w:before="0" w:after="0"/>
        <w:ind w:left="0" w:right="0" w:hanging="0"/>
        <w:jc w:val="both"/>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pursuit of potential acquisition opportunities;</w:t>
            </w:r>
          </w:p>
        </w:tc>
      </w:tr>
    </w:tbl>
    <w:p>
      <w:pPr>
        <w:pStyle w:val="TextBody"/>
        <w:bidi w:val="0"/>
        <w:spacing w:before="0" w:after="0"/>
        <w:ind w:left="0" w:right="0" w:hanging="0"/>
        <w:jc w:val="both"/>
        <w:rPr/>
      </w:pPr>
      <w:r>
        <w:rPr/>
        <w:t> </w:t>
      </w:r>
    </w:p>
    <w:tbl>
      <w:tblPr>
        <w:tblW w:w="8950" w:type="dxa"/>
        <w:jc w:val="left"/>
        <w:tblInd w:w="0" w:type="dxa"/>
        <w:tblLayout w:type="fixed"/>
        <w:tblCellMar>
          <w:top w:w="0" w:type="dxa"/>
          <w:left w:w="0" w:type="dxa"/>
          <w:bottom w:w="0" w:type="dxa"/>
          <w:right w:w="0" w:type="dxa"/>
        </w:tblCellMar>
      </w:tblPr>
      <w:tblGrid>
        <w:gridCol w:w="170"/>
        <w:gridCol w:w="878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economic downturns, wars and increased inflation and interest rates, and possible recessions caused thereby;</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effects of global pandemics on our operations, properties, the market for industrial gas, oil and natural gas, and the demand for industrial gas, oil and natural gas;</w:t>
            </w:r>
          </w:p>
        </w:tc>
      </w:tr>
    </w:tbl>
    <w:p>
      <w:pPr>
        <w:pStyle w:val="TextBody"/>
        <w:bidi w:val="0"/>
        <w:spacing w:before="0" w:after="0"/>
        <w:ind w:left="0" w:right="0" w:hanging="0"/>
        <w:jc w:val="both"/>
        <w:rPr/>
      </w:pPr>
      <w:r>
        <w:rPr/>
        <w:t> </w:t>
      </w:r>
    </w:p>
    <w:tbl>
      <w:tblPr>
        <w:tblW w:w="2785" w:type="dxa"/>
        <w:jc w:val="left"/>
        <w:tblInd w:w="0" w:type="dxa"/>
        <w:tblLayout w:type="fixed"/>
        <w:tblCellMar>
          <w:top w:w="0" w:type="dxa"/>
          <w:left w:w="0" w:type="dxa"/>
          <w:bottom w:w="0" w:type="dxa"/>
          <w:right w:w="0" w:type="dxa"/>
        </w:tblCellMar>
      </w:tblPr>
      <w:tblGrid>
        <w:gridCol w:w="170"/>
        <w:gridCol w:w="261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expected financial position;</w:t>
            </w:r>
          </w:p>
        </w:tc>
      </w:tr>
    </w:tbl>
    <w:p>
      <w:pPr>
        <w:pStyle w:val="TextBody"/>
        <w:bidi w:val="0"/>
        <w:spacing w:before="0" w:after="0"/>
        <w:ind w:left="0" w:right="0" w:hanging="0"/>
        <w:jc w:val="both"/>
        <w:rPr/>
      </w:pPr>
      <w:r>
        <w:rPr/>
        <w:t> </w:t>
      </w:r>
    </w:p>
    <w:tbl>
      <w:tblPr>
        <w:tblW w:w="3520" w:type="dxa"/>
        <w:jc w:val="left"/>
        <w:tblInd w:w="0" w:type="dxa"/>
        <w:tblLayout w:type="fixed"/>
        <w:tblCellMar>
          <w:top w:w="0" w:type="dxa"/>
          <w:left w:w="0" w:type="dxa"/>
          <w:bottom w:w="0" w:type="dxa"/>
          <w:right w:w="0" w:type="dxa"/>
        </w:tblCellMar>
      </w:tblPr>
      <w:tblGrid>
        <w:gridCol w:w="170"/>
        <w:gridCol w:w="335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expected future overhead reductions;</w:t>
            </w:r>
          </w:p>
        </w:tc>
      </w:tr>
    </w:tbl>
    <w:p>
      <w:pPr>
        <w:pStyle w:val="TextBody"/>
        <w:bidi w:val="0"/>
        <w:spacing w:before="0" w:after="0"/>
        <w:ind w:left="0" w:right="0" w:hanging="0"/>
        <w:jc w:val="both"/>
        <w:rPr/>
      </w:pPr>
      <w:r>
        <w:rPr/>
        <w:t> </w:t>
      </w:r>
    </w:p>
    <w:tbl>
      <w:tblPr>
        <w:tblW w:w="6745" w:type="dxa"/>
        <w:jc w:val="left"/>
        <w:tblInd w:w="0" w:type="dxa"/>
        <w:tblLayout w:type="fixed"/>
        <w:tblCellMar>
          <w:top w:w="0" w:type="dxa"/>
          <w:left w:w="0" w:type="dxa"/>
          <w:bottom w:w="0" w:type="dxa"/>
          <w:right w:w="0" w:type="dxa"/>
        </w:tblCellMar>
      </w:tblPr>
      <w:tblGrid>
        <w:gridCol w:w="170"/>
        <w:gridCol w:w="657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become an operator of industrial gas, oil and natural gas properties;</w:t>
            </w:r>
          </w:p>
        </w:tc>
      </w:tr>
    </w:tbl>
    <w:p>
      <w:pPr>
        <w:pStyle w:val="TextBody"/>
        <w:bidi w:val="0"/>
        <w:spacing w:before="0" w:after="0"/>
        <w:ind w:left="0" w:right="0" w:hanging="0"/>
        <w:jc w:val="both"/>
        <w:rPr/>
      </w:pPr>
      <w:r>
        <w:rPr/>
        <w:t> </w:t>
      </w:r>
    </w:p>
    <w:tbl>
      <w:tblPr>
        <w:tblW w:w="9175" w:type="dxa"/>
        <w:jc w:val="left"/>
        <w:tblInd w:w="0" w:type="dxa"/>
        <w:tblLayout w:type="fixed"/>
        <w:tblCellMar>
          <w:top w:w="0" w:type="dxa"/>
          <w:left w:w="0" w:type="dxa"/>
          <w:bottom w:w="0" w:type="dxa"/>
          <w:right w:w="0" w:type="dxa"/>
        </w:tblCellMar>
      </w:tblPr>
      <w:tblGrid>
        <w:gridCol w:w="170"/>
        <w:gridCol w:w="900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raise additional financing and acquire attractive industrial gas, oil and natural gas properties; and</w:t>
            </w:r>
          </w:p>
        </w:tc>
      </w:tr>
    </w:tbl>
    <w:p>
      <w:pPr>
        <w:pStyle w:val="TextBody"/>
        <w:bidi w:val="0"/>
        <w:spacing w:before="0" w:after="0"/>
        <w:ind w:left="0" w:right="0" w:hanging="0"/>
        <w:jc w:val="both"/>
        <w:rPr/>
      </w:pPr>
      <w:r>
        <w:rPr/>
        <w:t> </w:t>
      </w:r>
    </w:p>
    <w:tbl>
      <w:tblPr>
        <w:tblW w:w="8530" w:type="dxa"/>
        <w:jc w:val="left"/>
        <w:tblInd w:w="0" w:type="dxa"/>
        <w:tblLayout w:type="fixed"/>
        <w:tblCellMar>
          <w:top w:w="0" w:type="dxa"/>
          <w:left w:w="0" w:type="dxa"/>
          <w:bottom w:w="0" w:type="dxa"/>
          <w:right w:w="0" w:type="dxa"/>
        </w:tblCellMar>
      </w:tblPr>
      <w:tblGrid>
        <w:gridCol w:w="170"/>
        <w:gridCol w:w="8360"/>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plans and objectives for future operations, including industrial gas exploration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identified by their use of terms and phrases such as “may,” “expect,” “estimate,” “project,” “plan,” “believe,” “intend,” “achievable,” “anticipate,” “will,” “continue,” “potential,” “should,” “could,” “up to,” and similar terms and phrases. Though we believe that the expectations reflected in these statements are reasonable, they involve certain assumptions, risks and uncertainties. Factors that could cause or contribute to such differences include, but are not limited to, those discussed in this Quarterly Report on Form 10-Q, and in particular, under and incorporated by reference in, “Risk Factors”, below, the risks discussed in Part I, Item 1A, “Risk Factors” in our Annual Report on Form 10-K for the fiscal year ended December 31, 2025, and those discussed in other documents we file with the Securities and Exchange Commission (the “SEC” or the “Commission”). Given these risks and uncertainties, readers are cautioned not to place undue reliance on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subsequent written and oral forward-looking statements attributable to the Company, or persons acting on its behalf, are expressly qualified in their entirety by the cautionary statements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forward-looking statements speak only at the date of the filing of this Report. We do not undertake any obligation to update or revise publicly any forward-looking statements except as required by law, including the securities laws of the United States and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u w:val="single"/>
        </w:rPr>
      </w:pPr>
      <w:bookmarkStart w:id="4" w:name="partonefininfo"/>
      <w:bookmarkEnd w:id="4"/>
      <w:r>
        <w:rPr>
          <w:rFonts w:ascii="Times New Roman;Times;serif" w:hAnsi="Times New Roman;Times;serif"/>
          <w:b/>
          <w:sz w:val="20"/>
          <w:u w:val="single"/>
        </w:rPr>
        <w:t>Part I. FINANCIAL INFORMATION</w:t>
      </w:r>
    </w:p>
    <w:p>
      <w:pPr>
        <w:pStyle w:val="TextBody"/>
        <w:bidi w:val="0"/>
        <w:spacing w:before="0" w:after="0"/>
        <w:ind w:left="0" w:right="0" w:hanging="0"/>
        <w:jc w:val="both"/>
        <w:rPr>
          <w:rFonts w:ascii="Times New Roman" w:hAnsi="Times New Roman"/>
          <w:b/>
          <w:caps w:val="false"/>
          <w:smallCaps w:val="false"/>
          <w:sz w:val="20"/>
        </w:rPr>
      </w:pPr>
      <w:bookmarkStart w:id="5" w:name="finstmts"/>
      <w:bookmarkEnd w:id="5"/>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bs"/>
      <w:bookmarkEnd w:id="6"/>
      <w:r>
        <w:rPr>
          <w:rFonts w:ascii="Times New Roman" w:hAnsi="Times New Roman"/>
          <w:b/>
          <w:caps w:val="false"/>
          <w:smallCaps w:val="false"/>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46"/>
        <w:gridCol w:w="60"/>
        <w:gridCol w:w="131"/>
        <w:gridCol w:w="796"/>
        <w:gridCol w:w="80"/>
        <w:gridCol w:w="60"/>
        <w:gridCol w:w="160"/>
        <w:gridCol w:w="975"/>
        <w:gridCol w:w="97"/>
      </w:tblGrid>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December 31, 2025</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429</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Oil and natural gas sales receivables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Marketable equity securities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8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Commodity derivative</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796"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9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0"/>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current assets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956</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current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1,985</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Oil and natural gas properties under full cost method and industrial gas properties: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Evaluated oil and natural gas properties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132,459</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Less accumulated depreciation, depletion and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(117,904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(117,237</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oil and natural gas properties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15,222</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Unproved industrial gas properties, not subject to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22,479</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Other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Property and equipment, net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318</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Right-of-use asset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8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Commodity derivative</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796"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9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0"/>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assets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other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944</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40,630</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Accounts payable and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1,592</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Revenue and royalties payable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3,921</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Asset retirement obligations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Current lease obligation</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6,023</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Noncurrent liabilities: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Credit facility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2,500</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Asset retirement obligations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7,706</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Long-term lease obligation, net of current portion</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10,412</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16,435</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Shareholders’ equity: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$0.01 par value; 245,000,000 shares authorized; 52,487,506 and 34,405,143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 paid-in capital</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253,891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235,762</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 deficit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(217,377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(211,912</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7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shareholders’ equity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24,195</w:t>
            </w:r>
          </w:p>
        </w:tc>
        <w:tc>
          <w:tcPr>
            <w:tcW w:w="97" w:type="dxa"/>
            <w:tcBorders/>
            <w:shd w:fill="FFFFFF" w:val="clear"/>
            <w:vAlign w:val="center"/>
          </w:tcPr>
          <w:p>
            <w:pPr>
              <w:pStyle w:val="TableContents"/>
              <w:bidi w:val="0"/>
              <w:spacing w:before="0" w:after="283"/>
              <w:jc w:val="left"/>
              <w:rPr/>
            </w:pPr>
            <w:r>
              <w:rPr/>
              <w:t> </w:t>
            </w:r>
          </w:p>
        </w:tc>
      </w:tr>
      <w:tr>
        <w:trPr/>
        <w:tc>
          <w:tcPr>
            <w:tcW w:w="7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4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40,630</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80" w:right="18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ops"/>
      <w:bookmarkEnd w:id="7"/>
      <w:r>
        <w:rPr>
          <w:rFonts w:ascii="Times New Roman" w:hAnsi="Times New Roman"/>
          <w:b/>
          <w:caps w:val="false"/>
          <w:smallCaps w:val="false"/>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w:t>
      </w:r>
      <w:r>
        <w:rPr>
          <w:rFonts w:ascii="Times New Roman" w:hAnsi="Times New Roman"/>
          <w:b/>
          <w:caps/>
          <w:sz w:val="20"/>
        </w:rPr>
        <w:t xml:space="preserve"> three and six months ended 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9561" w:type="dxa"/>
        <w:jc w:val="left"/>
        <w:tblInd w:w="0" w:type="dxa"/>
        <w:tblLayout w:type="fixed"/>
        <w:tblCellMar>
          <w:top w:w="0" w:type="dxa"/>
          <w:left w:w="0" w:type="dxa"/>
          <w:bottom w:w="0" w:type="dxa"/>
          <w:right w:w="0" w:type="dxa"/>
        </w:tblCellMar>
      </w:tblPr>
      <w:tblGrid>
        <w:gridCol w:w="4475"/>
        <w:gridCol w:w="60"/>
        <w:gridCol w:w="137"/>
        <w:gridCol w:w="1041"/>
        <w:gridCol w:w="87"/>
        <w:gridCol w:w="65"/>
        <w:gridCol w:w="137"/>
        <w:gridCol w:w="1041"/>
        <w:gridCol w:w="80"/>
        <w:gridCol w:w="60"/>
        <w:gridCol w:w="125"/>
        <w:gridCol w:w="954"/>
        <w:gridCol w:w="80"/>
        <w:gridCol w:w="60"/>
        <w:gridCol w:w="125"/>
        <w:gridCol w:w="954"/>
        <w:gridCol w:w="80"/>
      </w:tblGrid>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accretion and amortization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oil and natural gas properties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2,760</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expense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sale of assets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CCEEFF" w:val="clear"/>
            <w:vAlign w:val="center"/>
          </w:tcPr>
          <w:p>
            <w:pPr>
              <w:pStyle w:val="TableContents"/>
              <w:bidi w:val="0"/>
              <w:spacing w:before="0" w:after="0"/>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gain,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(2,279</w:t>
            </w:r>
          </w:p>
        </w:tc>
        <w:tc>
          <w:tcPr>
            <w:tcW w:w="8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(6,058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(5,465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(9,169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52,392,618</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32,672,866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46,553,898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33,370,898</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se"/>
      <w:bookmarkEnd w:id="8"/>
      <w:r>
        <w:rPr>
          <w:rFonts w:ascii="Times New Roman;Times;serif" w:hAnsi="Times New Roman;Times;serif"/>
          <w:b/>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CHANGES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w:t>
      </w:r>
      <w:r>
        <w:rPr>
          <w:rFonts w:ascii="Times New Roman" w:hAnsi="Times New Roman"/>
          <w:b/>
          <w:caps/>
          <w:sz w:val="20"/>
        </w:rPr>
        <w:t xml:space="preserve"> six months ended 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0" w:type="dxa"/>
          <w:right w:w="0" w:type="dxa"/>
        </w:tblCellMar>
      </w:tblPr>
      <w:tblGrid>
        <w:gridCol w:w="4955"/>
        <w:gridCol w:w="60"/>
        <w:gridCol w:w="60"/>
        <w:gridCol w:w="950"/>
        <w:gridCol w:w="80"/>
        <w:gridCol w:w="60"/>
        <w:gridCol w:w="184"/>
        <w:gridCol w:w="496"/>
        <w:gridCol w:w="80"/>
        <w:gridCol w:w="60"/>
        <w:gridCol w:w="140"/>
        <w:gridCol w:w="780"/>
        <w:gridCol w:w="80"/>
        <w:gridCol w:w="60"/>
        <w:gridCol w:w="158"/>
        <w:gridCol w:w="957"/>
        <w:gridCol w:w="80"/>
        <w:gridCol w:w="60"/>
        <w:gridCol w:w="125"/>
        <w:gridCol w:w="590"/>
        <w:gridCol w:w="80"/>
      </w:tblGrid>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27,903,197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(197,538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24,201</w:t>
            </w:r>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471</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firstLine="180"/>
              <w:jc w:val="both"/>
              <w:rPr>
                <w:rFonts w:ascii="Times New Roman" w:hAnsi="Times New Roman"/>
                <w:sz w:val="20"/>
              </w:rPr>
            </w:pPr>
            <w:r>
              <w:rPr>
                <w:rFonts w:ascii="Times New Roman" w:hAnsi="Times New Roman"/>
                <w:sz w:val="20"/>
              </w:rPr>
              <w:t>Acquisition of industrial gas properties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2,632</w:t>
            </w:r>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Issued to employees and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Settle tax withholding obligations for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(203,281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FFFFFF"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Underwritten offering, net of offering costs $899,099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4,871,400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11,877</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 repurchased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(125,600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repurchased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(635,400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(1,568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34,061,831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(200,650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33,938</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563</w:t>
            </w:r>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Issued to employees and directors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Settle tax withholding obligations for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 repurchased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(71,800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(6,058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(6,058</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5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95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34,021,820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9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234,704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(206,709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28,337</w:t>
            </w:r>
          </w:p>
        </w:tc>
        <w:tc>
          <w:tcPr>
            <w:tcW w:w="80" w:type="dxa"/>
            <w:tcBorders/>
            <w:shd w:fill="FFFFFF" w:val="clear"/>
            <w:vAlign w:val="center"/>
          </w:tcPr>
          <w:p>
            <w:pPr>
              <w:pStyle w:val="TableContents"/>
              <w:bidi w:val="0"/>
              <w:spacing w:before="0" w:after="0"/>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34,405,143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(211,912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24,195</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Issued to employees and directors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735,514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Settle tax withholding obligations for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(168,610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FFFFFF"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Underwritten offering, net of offering costs $714,195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8,086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95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Committed equity facility, net of offering costs $199,238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8,548,382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9,018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9,103</w:t>
            </w:r>
          </w:p>
        </w:tc>
        <w:tc>
          <w:tcPr>
            <w:tcW w:w="80" w:type="dxa"/>
            <w:tcBorders/>
            <w:shd w:fill="CCEEFF" w:val="clear"/>
            <w:vAlign w:val="center"/>
          </w:tcPr>
          <w:p>
            <w:pPr>
              <w:pStyle w:val="TableContents"/>
              <w:bidi w:val="0"/>
              <w:spacing w:before="0" w:after="0"/>
              <w:jc w:val="left"/>
              <w:rPr/>
            </w:pPr>
            <w:r>
              <w:rPr/>
              <w:t> </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95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52,320,429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96"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(215,097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38,475</w:t>
            </w:r>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Issued to consultants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w:t>
            </w:r>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684</w:t>
            </w:r>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(2,279</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95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Balances,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9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52,487,506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253,891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(217,377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37,039</w:t>
            </w:r>
          </w:p>
        </w:tc>
        <w:tc>
          <w:tcPr>
            <w:tcW w:w="8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w:t>
      </w:r>
      <w:r>
        <w:rPr>
          <w:rFonts w:ascii="Times New Roman" w:hAnsi="Times New Roman"/>
          <w:b/>
          <w:caps/>
          <w:sz w:val="20"/>
        </w:rPr>
        <w:t>six months ended June 30, 2026 and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6155"/>
        <w:gridCol w:w="60"/>
        <w:gridCol w:w="110"/>
        <w:gridCol w:w="575"/>
        <w:gridCol w:w="80"/>
        <w:gridCol w:w="60"/>
        <w:gridCol w:w="110"/>
        <w:gridCol w:w="515"/>
        <w:gridCol w:w="95"/>
      </w:tblGrid>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2025</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(5,465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(9,169</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Depreciation, depletion, accretion, and amortization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2,237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Impairment of oil and natural gas properties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 on sale of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424</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Commodity derivatives gain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Commodity derivative settlements received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FFFFFF" w:val="clear"/>
            <w:vAlign w:val="center"/>
          </w:tcPr>
          <w:p>
            <w:pPr>
              <w:pStyle w:val="TableContents"/>
              <w:bidi w:val="0"/>
              <w:spacing w:before="0" w:after="0"/>
              <w:ind w:left="0" w:right="0" w:hanging="0"/>
              <w:jc w:val="left"/>
              <w:rPr/>
            </w:pPr>
            <w:r>
              <w:rPr/>
              <w:t> </w:t>
            </w:r>
          </w:p>
        </w:tc>
      </w:tr>
      <w:tr>
        <w:trPr/>
        <w:tc>
          <w:tcPr>
            <w:tcW w:w="6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 (gain) on marketable equity securities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1,034</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Right-of-use asset amortization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to consultants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Oil and natural gas sales receivable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(3,826</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operating assets and liabilities,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Payments on operating lease liability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(6,127</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Acquisition of industrial gas properties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(2,128</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Industrial gas capital expenditures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(2,504</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Oil and natural gas capital expenditures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Property and equipment expenditures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proceeds from sale of oil and natural gas properties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(4,509</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Borrowings on credit facility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Financing costs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withheld to settle tax withholding obligations for restricted stock awards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(346</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Repurchases of common stock</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Related party share repurchase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(1,574</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Proceeds from underwritten offering</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11,877</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Proceeds from committed equity facility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9,641</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change in cash and equivalents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(995</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equivalents, beginning of period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7,723</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6,728</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The accompanying notes are an integral part of these unaudited Condensed Consolidated Financial Statements. Please see </w:t>
      </w:r>
      <w:r>
        <w:rPr>
          <w:rFonts w:ascii="Times New Roman" w:hAnsi="Times New Roman"/>
          <w:i/>
          <w:caps w:val="false"/>
          <w:smallCaps w:val="false"/>
          <w:sz w:val="20"/>
        </w:rPr>
        <w:t>Note-15- Supplemental Disclosures of Cash Flow Information</w:t>
      </w: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0" w:name="notes"/>
      <w:bookmarkEnd w:id="10"/>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 OPERATIONS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Organization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changed its name from "U.S. Energy Corp." to "Big Sky Industrial Inc." (ticker:BSIN). Big Sky Industrial Inc. and its wholly-owned subsidiaries are referred to as the “Company” in these Notes to Condensed Consolidated Financial Statements. The Company is incorporated in the State of Delaware and its principal business activities are focused on the acquisition, exploration and development of industrial gas and oil and natural gas properties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are presented in accordance with U.S. generally accepted accounting principles (“GAAP”) and have been prepared by the Company pursuant to the rules and regulations of the Securities and Exchange Commission (the “SEC”) regarding interim financial reporting. Accordingly, certain information and footnote disclosures required by GAAP for complete financial statements have been condensed or omitted in accordance with such rules and regulations. In the opinion of management, all adjustments (consisting of normal recurring adjustments) considered necessary for a fair presentation of the Condensed Consolidated Financial Statements have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further information, refer to the Consolidated Financial Statements and footnotes thereto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as filed with the SEC on </w:t>
      </w:r>
      <w:r>
        <w:rPr>
          <w:rStyle w:val="Emphasis"/>
          <w:rFonts w:ascii="Times New Roman" w:hAnsi="Times New Roman"/>
          <w:caps w:val="false"/>
          <w:smallCaps w:val="false"/>
          <w:sz w:val="20"/>
        </w:rPr>
        <w:t>March 13, 2026</w:t>
      </w:r>
      <w:r>
        <w:rPr>
          <w:rFonts w:ascii="Times New Roman" w:hAnsi="Times New Roman"/>
          <w:caps w:val="false"/>
          <w:smallCaps w:val="false"/>
          <w:sz w:val="20"/>
        </w:rPr>
        <w:t xml:space="preserve">. The Company’s significant accounting policies are also described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 those Consolidated Financial Statements.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to those policies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financial condition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financial condition and results of operations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any future interim period or for the year ending </w:t>
      </w:r>
      <w:r>
        <w:rPr>
          <w:rStyle w:val="Emphasis"/>
          <w:rFonts w:ascii="Times New Roman" w:hAnsi="Times New Roman"/>
          <w:caps w:val="false"/>
          <w:smallCaps w:val="false"/>
          <w:sz w:val="20"/>
        </w:rPr>
        <w:t>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Significant estimates include oil and natural gas reserves that are used in the calculation of depreciation, depletion, amortization ("DD&amp;A") and impairment of the carrying value of evaluated oil and natural gas properties, and the cost and timing of future asset retirement obligations. The Company evaluates its estimates on an on-going basis and bases its estimates on historical experience and on various other assumptions the Company believes to be reasonable. Due to inherent uncertainties, including the future prices of oil and natural gas, these estimates could change in the near term and such changes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conformity with GAAP and include the accounts of Big Sky Industrial Inc. and its wholly-owned subsidiaries. Big Sky Industrial Inc. accounts for its share of oil and natural gas exploration and production activities, and industrial gas activities in which it has a direct working interest, by reporting its proportionate share of assets, liabilities, revenues, costs, and cash flows within the relevant lines on the Condensed Consolidated Balance Sheets, Condensed Consolidated Statements of Operations, and Condensed Consolidated Statements of Cash Flows.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Industry Segment and Geographic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operates primarily in the exploration and production segment of the oil and gas industry, conducting onshore operations within the United States. All current revenues are derived from the production and sale of oil and natural gas.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addition, the Company has commenced development activities related to industrial gas assets. These activities are currently in the development stage and have </w:t>
      </w:r>
      <w:r>
        <w:rPr>
          <w:rStyle w:val="Emphasis"/>
          <w:rFonts w:ascii="Times New Roman" w:hAnsi="Times New Roman"/>
          <w:caps w:val="false"/>
          <w:smallCaps w:val="false"/>
          <w:sz w:val="20"/>
        </w:rPr>
        <w:t>not</w:t>
      </w:r>
      <w:r>
        <w:rPr>
          <w:rFonts w:ascii="Times New Roman" w:hAnsi="Times New Roman"/>
          <w:caps w:val="false"/>
          <w:smallCaps w:val="false"/>
          <w:sz w:val="20"/>
        </w:rPr>
        <w:t> yet generated revenues. Development activities primarily consist of resource evaluation, permitting, engineering and related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Company manages its operations as a single reportable segment under Accounting Standards Codification (ASC) </w:t>
      </w:r>
      <w:r>
        <w:rPr>
          <w:rStyle w:val="Emphasis"/>
          <w:rFonts w:ascii="Times New Roman" w:hAnsi="Times New Roman"/>
          <w:caps w:val="false"/>
          <w:smallCaps w:val="false"/>
          <w:sz w:val="20"/>
        </w:rPr>
        <w:t>280</w:t>
      </w:r>
      <w:r>
        <w:rPr>
          <w:rFonts w:ascii="Times New Roman" w:hAnsi="Times New Roman"/>
          <w:caps w:val="false"/>
          <w:smallCaps w:val="false"/>
          <w:sz w:val="20"/>
        </w:rPr>
        <w:t> Segment Reporting. The Company’s Chief Executive Officer serves as the Chief Operating Decision Maker (“CODM”) and reviews financial information on a consolidated basis for purposes of allocating resources and assessing performance. While industrial gas development costs and capital expenditures are tracked separately for internal project management purposes, such activities do </w:t>
      </w:r>
      <w:r>
        <w:rPr>
          <w:rStyle w:val="Emphasis"/>
          <w:rFonts w:ascii="Times New Roman" w:hAnsi="Times New Roman"/>
          <w:caps w:val="false"/>
          <w:smallCaps w:val="false"/>
          <w:sz w:val="20"/>
        </w:rPr>
        <w:t>not</w:t>
      </w:r>
      <w:r>
        <w:rPr>
          <w:rFonts w:ascii="Times New Roman" w:hAnsi="Times New Roman"/>
          <w:caps w:val="false"/>
          <w:smallCaps w:val="false"/>
          <w:sz w:val="20"/>
        </w:rPr>
        <w:t> currently constitute a separate operating segment, as discrete operating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reviewed by the CODM and </w:t>
      </w:r>
      <w:r>
        <w:rPr>
          <w:rStyle w:val="Emphasis"/>
          <w:rFonts w:ascii="Times New Roman" w:hAnsi="Times New Roman"/>
          <w:caps w:val="false"/>
          <w:smallCaps w:val="false"/>
          <w:sz w:val="20"/>
        </w:rPr>
        <w:t>no</w:t>
      </w:r>
      <w:r>
        <w:rPr>
          <w:rFonts w:ascii="Times New Roman" w:hAnsi="Times New Roman"/>
          <w:caps w:val="false"/>
          <w:smallCaps w:val="false"/>
          <w:sz w:val="20"/>
        </w:rPr>
        <w:t> revenues have been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principal oil and natural gas properties and operations are located in:</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Rockies region (Montana and Wyoming)</w:t>
            </w:r>
          </w:p>
        </w:tc>
      </w:tr>
    </w:tbl>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Mid-Continent and Other regions (Oklahoma, Mississippi, and Texas)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CODM evaluates performance primarily based on operating income (loss), defined as revenues less lease operating expenses. Other significant items reviewed include total assets, depreciation, depletion and amortization (“DD&amp;A”), general and administrative expense, gain or loss on derivative activity, interest expense and income tax expense (benefit). These amounts are presented in the Consolidated Balance Sheets and Consolidated Statements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b/>
          <w:caps w:val="false"/>
          <w:smallCaps w:val="false"/>
          <w:sz w:val="20"/>
        </w:rPr>
        <w:t xml:space="preserve">Recently Issued Accounting Pronouncements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w:t>
      </w:r>
      <w:r>
        <w:rPr>
          <w:rFonts w:ascii="Times New Roman" w:hAnsi="Times New Roman"/>
          <w:caps w:val="false"/>
          <w:smallCaps w:val="false"/>
          <w:sz w:val="20"/>
        </w:rPr>
        <w:t>, which requires additional disaggregation of certain expense captions presented on the face of the income statement, including further detail regarding the nature of expenses such as employee compensation, depreciation, and amortization. The guidance is intended to enhance transparency into the composition of an entity’s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amendments in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are effective for public business entities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and interim periods within those fiscal years. Early adoption is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currently evaluating the impact that the adoption of this guidance will have on its consolidated financial statements and related disclosures. The Company expects the adoption will result in expanded disclosures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a material impact on its results of operations, financial position, or cash flows.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Related Party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entered into a consulting engagement with a related party, as defined under applicable accounting guidance. The related party relationship arises from the entity being controlled by a member of the Company’s board of directors. The Company engaged the related party to provide electrical infrastructure consulting services in connection with the development of its industrial gas processing facility.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incurred approximately $50,000 in costs related to these services. The arrangement provided for a fixed fee of up to $50,000, and the Company believes the terms are customary and reasonable for similar services. The Company’s Audit Committee reviewed and approved the engagement in accordance with the Company’s related party transaction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Acquisition of industrial gas</w:t>
      </w:r>
      <w:r>
        <w:rPr>
          <w:rFonts w:ascii="Times New Roman" w:hAnsi="Times New Roman"/>
          <w:caps w:val="false"/>
          <w:smallCaps w:val="false"/>
          <w:sz w:val="20"/>
        </w:rPr>
        <w:t xml:space="preserve"> </w:t>
      </w:r>
      <w:r>
        <w:rPr>
          <w:rFonts w:ascii="Times New Roman" w:hAnsi="Times New Roman"/>
          <w:b/>
          <w:caps w:val="false"/>
          <w:smallCaps w:val="false"/>
          <w:sz w:val="20"/>
        </w:rPr>
        <w:t>acreage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7, 2025, </w:t>
      </w:r>
      <w:r>
        <w:rPr>
          <w:rFonts w:ascii="Times New Roman" w:hAnsi="Times New Roman"/>
          <w:caps w:val="false"/>
          <w:smallCaps w:val="false"/>
          <w:sz w:val="20"/>
        </w:rPr>
        <w:t>the Company entered into, and simultaneously closed the related party transactions contemplated by, a Purchase and Sale Agreement (the “Synergy Purchase Agreement”), with Synergy Offshore LLC (“Synergy”). Synergy is controlled by Mr. Duane H. King, a member of the Board of Directors of the Company, who serves as the Chief Executive Officer and Manager of Synergy, and John A. Weinzierl, the Company’s Chairman, who was an approximate sixty percent beneficial owner of Synergy at the time of the entry into the purchase and 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Pursuant to the Synergy Purchase Agreement, the Company purchased from Synergy, 24,000 net operated acres located across the Kevin Dome structure in Toole County, Montana, which are highly contiguous to the 144,000 net acres located across the Kevin Dome structure in Toole County, Montana acquired by the Company in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from Wavetech Helium, Inc. ("Wavetech"), including all leases, wells, rights and interests in, under or derived from all communalization, unitization, or pooling agreements or pooling orders, easements, mineral interests, contracts, production, equipment, claims, receivables, indemnities, permits, seismic studies and records, associated therewith (collectively, the “Property”), subject to Synergy retaining an undivided twenty percent (</w:t>
      </w:r>
      <w:r>
        <w:rPr>
          <w:rStyle w:val="Emphasis"/>
          <w:rFonts w:ascii="Times New Roman" w:hAnsi="Times New Roman"/>
          <w:caps w:val="false"/>
          <w:smallCaps w:val="false"/>
          <w:sz w:val="20"/>
        </w:rPr>
        <w:t>20.00%</w:t>
      </w:r>
      <w:r>
        <w:rPr>
          <w:rFonts w:ascii="Times New Roman" w:hAnsi="Times New Roman"/>
          <w:caps w:val="false"/>
          <w:smallCaps w:val="false"/>
          <w:sz w:val="20"/>
        </w:rPr>
        <w:t>) of Synergy’s right, title, and interest in the Property, and certain excluded assets (the “Synergy Reserved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Property was acquired in consideration for (a) $2.0 million in cash, subject to customary adjustments; (b) 1,400,000 shares of the Company’s common stock (representing 4.76% of the Company’s outstanding common stock at the time of the entry into the Purchase Agreement) (the “Closing Shares”); (c) a carried working interest whereby the Company agreed to cover and pay for 100% of Synergy’s costs attributable to the Synergy Reserved Interest, until the earlier of (i) 78 months from the closing date; or (ii) the date the total costs associated therewith total $20 million; (d) the Company's agreement to pay Synergy </w:t>
      </w:r>
      <w:r>
        <w:rPr>
          <w:rStyle w:val="Emphasis"/>
          <w:rFonts w:ascii="Times New Roman;Times;serif" w:hAnsi="Times New Roman;Times;serif"/>
          <w:sz w:val="20"/>
        </w:rPr>
        <w:t>18%</w:t>
      </w:r>
      <w:r>
        <w:rPr>
          <w:rFonts w:ascii="Times New Roman;Times;serif" w:hAnsi="Times New Roman;Times;serif"/>
          <w:sz w:val="20"/>
        </w:rPr>
        <w:t xml:space="preserve"> of the cash amounts it actually realizes from our sequestration of carbon oxides or similar substances derived directly from the area of mutual interest (“AMI”) surrounding the Property; and (e) the Company's agreement to pay Synergy 18% of the gain we </w:t>
      </w:r>
      <w:r>
        <w:rPr>
          <w:rStyle w:val="Emphasis"/>
          <w:rFonts w:ascii="Times New Roman;Times;serif" w:hAnsi="Times New Roman;Times;serif"/>
          <w:sz w:val="20"/>
        </w:rPr>
        <w:t xml:space="preserve">may </w:t>
      </w:r>
      <w:r>
        <w:rPr>
          <w:rFonts w:ascii="Times New Roman;Times;serif" w:hAnsi="Times New Roman;Times;serif"/>
          <w:sz w:val="20"/>
        </w:rPr>
        <w:t>receive in connection with the sale of the future, first, gas processing plant located on the Property (which includes any expansions connected to the initial installation that processes production from within the AMI in which the Company has a financial interest), in the same form as the consideration we receive upon such sale. Total consideration was $4.7 million. The transaction was accounted for as an asset acquisition and recorded as an unevaluated industrial gas asset upon closing.</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disaggregates revenues from its share of revenue from the sale of oil and natural gas and liquids by region. The Company’s revenues in the Rockies region and the Mid-Continent and Other region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6939" w:type="dxa"/>
        <w:jc w:val="left"/>
        <w:tblInd w:w="0" w:type="dxa"/>
        <w:tblLayout w:type="fixed"/>
        <w:tblCellMar>
          <w:top w:w="0" w:type="dxa"/>
          <w:left w:w="0" w:type="dxa"/>
          <w:bottom w:w="0" w:type="dxa"/>
          <w:right w:w="0" w:type="dxa"/>
        </w:tblCellMar>
      </w:tblPr>
      <w:tblGrid>
        <w:gridCol w:w="1895"/>
        <w:gridCol w:w="60"/>
        <w:gridCol w:w="234"/>
        <w:gridCol w:w="908"/>
        <w:gridCol w:w="112"/>
        <w:gridCol w:w="112"/>
        <w:gridCol w:w="234"/>
        <w:gridCol w:w="908"/>
        <w:gridCol w:w="60"/>
        <w:gridCol w:w="60"/>
        <w:gridCol w:w="214"/>
        <w:gridCol w:w="832"/>
        <w:gridCol w:w="102"/>
        <w:gridCol w:w="102"/>
        <w:gridCol w:w="214"/>
        <w:gridCol w:w="832"/>
        <w:gridCol w:w="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24"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Rockies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Mid-Continent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w:t>
            </w:r>
          </w:p>
        </w:tc>
        <w:tc>
          <w:tcPr>
            <w:tcW w:w="6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Combined 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pPr>
      <w:r>
        <w:rPr/>
        <w:t xml:space="preserve">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Significant concentrations of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exposure to credit risk in the event of non-payment of oil and natural gas receivables by purchasers of its operated oil and natural gas properties. The following table presents the purchasers that accounted for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Company’s total oil and natural gas revenue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periods presented:</w:t>
      </w:r>
    </w:p>
    <w:p>
      <w:pPr>
        <w:pStyle w:val="TextBody"/>
        <w:bidi w:val="0"/>
        <w:spacing w:before="0" w:after="0"/>
        <w:ind w:left="0" w:right="0" w:hanging="0"/>
        <w:jc w:val="left"/>
        <w:rPr>
          <w:caps w:val="false"/>
          <w:smallCaps w:val="false"/>
        </w:rPr>
      </w:pPr>
      <w:r>
        <w:rPr>
          <w:caps w:val="false"/>
          <w:smallCaps w:val="false"/>
        </w:rPr>
        <w:t> </w:t>
      </w:r>
    </w:p>
    <w:tbl>
      <w:tblPr>
        <w:tblW w:w="2802" w:type="dxa"/>
        <w:jc w:val="left"/>
        <w:tblInd w:w="0" w:type="dxa"/>
        <w:tblLayout w:type="fixed"/>
        <w:tblCellMar>
          <w:top w:w="0" w:type="dxa"/>
          <w:left w:w="0" w:type="dxa"/>
          <w:bottom w:w="0" w:type="dxa"/>
          <w:right w:w="0" w:type="dxa"/>
        </w:tblCellMar>
      </w:tblPr>
      <w:tblGrid>
        <w:gridCol w:w="995"/>
        <w:gridCol w:w="60"/>
        <w:gridCol w:w="112"/>
        <w:gridCol w:w="432"/>
        <w:gridCol w:w="347"/>
        <w:gridCol w:w="112"/>
        <w:gridCol w:w="112"/>
        <w:gridCol w:w="432"/>
        <w:gridCol w:w="200"/>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34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5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00"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A</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3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Purchaser B</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3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Purchaser C</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3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operating lease right-of-use asset and lease obligation are recognized at their discounted present value under the following captions in the Condensed Consolidated Balance Sheets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63" w:type="dxa"/>
        <w:jc w:val="left"/>
        <w:tblInd w:w="0" w:type="dxa"/>
        <w:tblLayout w:type="fixed"/>
        <w:tblCellMar>
          <w:top w:w="0" w:type="dxa"/>
          <w:left w:w="0" w:type="dxa"/>
          <w:bottom w:w="0" w:type="dxa"/>
          <w:right w:w="0" w:type="dxa"/>
        </w:tblCellMar>
      </w:tblPr>
      <w:tblGrid>
        <w:gridCol w:w="2225"/>
        <w:gridCol w:w="60"/>
        <w:gridCol w:w="323"/>
        <w:gridCol w:w="866"/>
        <w:gridCol w:w="60"/>
        <w:gridCol w:w="60"/>
        <w:gridCol w:w="436"/>
        <w:gridCol w:w="1173"/>
        <w:gridCol w:w="6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180" w:hanging="180"/>
              <w:jc w:val="left"/>
              <w:rPr>
                <w:rFonts w:ascii="Times New Roman" w:hAnsi="Times New Roman"/>
                <w:caps w:val="false"/>
                <w:smallCaps w:val="false"/>
                <w:sz w:val="20"/>
              </w:rPr>
            </w:pPr>
            <w:r>
              <w:rPr>
                <w:rFonts w:ascii="Times New Roman" w:hAnsi="Times New Roman"/>
                <w:caps w:val="false"/>
                <w:smallCaps w:val="false"/>
                <w:sz w:val="20"/>
              </w:rPr>
              <w:t>Right-of-use asset</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Long-term lease obligation</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recognizes lease expense on a straight-line basis excluding short-term and variable lease payments, which are recognized as incurred. Short-term lease cost represents payments for oilfield equipment with original lease terms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The following are the amounts recognized as components of lease cost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44" w:type="dxa"/>
        <w:jc w:val="left"/>
        <w:tblInd w:w="0" w:type="dxa"/>
        <w:tblLayout w:type="fixed"/>
        <w:tblCellMar>
          <w:top w:w="0" w:type="dxa"/>
          <w:left w:w="0" w:type="dxa"/>
          <w:bottom w:w="0" w:type="dxa"/>
          <w:right w:w="0" w:type="dxa"/>
        </w:tblCellMar>
      </w:tblPr>
      <w:tblGrid>
        <w:gridCol w:w="1700"/>
        <w:gridCol w:w="60"/>
        <w:gridCol w:w="378"/>
        <w:gridCol w:w="695"/>
        <w:gridCol w:w="181"/>
        <w:gridCol w:w="181"/>
        <w:gridCol w:w="378"/>
        <w:gridCol w:w="695"/>
        <w:gridCol w:w="60"/>
        <w:gridCol w:w="60"/>
        <w:gridCol w:w="276"/>
        <w:gridCol w:w="740"/>
        <w:gridCol w:w="132"/>
        <w:gridCol w:w="132"/>
        <w:gridCol w:w="276"/>
        <w:gridCol w:w="740"/>
        <w:gridCol w:w="60"/>
      </w:tblGrid>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24"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8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The Company’s Houston office operating lease does </w:t>
      </w:r>
      <w:r>
        <w:rPr>
          <w:rStyle w:val="Emphasis"/>
          <w:rFonts w:ascii="Times New Roman;Times;serif" w:hAnsi="Times New Roman;Times;serif"/>
          <w:sz w:val="20"/>
        </w:rPr>
        <w:t>not</w:t>
      </w:r>
      <w:r>
        <w:rPr>
          <w:rFonts w:ascii="Times New Roman;Times;serif" w:hAnsi="Times New Roman;Times;serif"/>
          <w:sz w:val="20"/>
        </w:rPr>
        <w:t xml:space="preserve"> contain implicit interest rates that can be readily determined; therefore, the Company used the incremental borrowing rates in effect at the time the Company entered into the leases.</w:t>
      </w:r>
    </w:p>
    <w:p>
      <w:pPr>
        <w:pStyle w:val="TextBody"/>
        <w:bidi w:val="0"/>
        <w:spacing w:before="0" w:after="0"/>
        <w:ind w:left="0" w:right="0" w:hanging="0"/>
        <w:jc w:val="left"/>
        <w:rPr>
          <w:caps w:val="false"/>
          <w:smallCaps w:val="false"/>
        </w:rPr>
      </w:pPr>
      <w:r>
        <w:rPr>
          <w:caps w:val="false"/>
          <w:smallCaps w:val="false"/>
        </w:rPr>
        <w:t> </w:t>
      </w:r>
    </w:p>
    <w:tbl>
      <w:tblPr>
        <w:tblW w:w="4361" w:type="dxa"/>
        <w:jc w:val="left"/>
        <w:tblInd w:w="0" w:type="dxa"/>
        <w:tblLayout w:type="fixed"/>
        <w:tblCellMar>
          <w:top w:w="0" w:type="dxa"/>
          <w:left w:w="0" w:type="dxa"/>
          <w:bottom w:w="0" w:type="dxa"/>
          <w:right w:w="0" w:type="dxa"/>
        </w:tblCellMar>
      </w:tblPr>
      <w:tblGrid>
        <w:gridCol w:w="2930"/>
        <w:gridCol w:w="60"/>
        <w:gridCol w:w="63"/>
        <w:gridCol w:w="401"/>
        <w:gridCol w:w="195"/>
        <w:gridCol w:w="63"/>
        <w:gridCol w:w="63"/>
        <w:gridCol w:w="401"/>
        <w:gridCol w:w="185"/>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As of June 30,</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9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6"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lease term (years)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9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4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18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19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4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Maturity of operating lease liabilities with terms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more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is presented in the following table:</w:t>
      </w:r>
    </w:p>
    <w:p>
      <w:pPr>
        <w:pStyle w:val="TextBody"/>
        <w:bidi w:val="0"/>
        <w:spacing w:before="0" w:after="0"/>
        <w:ind w:left="0" w:right="0" w:hanging="0"/>
        <w:jc w:val="left"/>
        <w:rPr>
          <w:caps w:val="false"/>
          <w:smallCaps w:val="false"/>
        </w:rPr>
      </w:pPr>
      <w:r>
        <w:rPr>
          <w:caps w:val="false"/>
          <w:smallCaps w:val="false"/>
        </w:rPr>
        <w:t> </w:t>
      </w:r>
    </w:p>
    <w:tbl>
      <w:tblPr>
        <w:tblW w:w="3134" w:type="dxa"/>
        <w:jc w:val="left"/>
        <w:tblInd w:w="0" w:type="dxa"/>
        <w:tblLayout w:type="fixed"/>
        <w:tblCellMar>
          <w:top w:w="0" w:type="dxa"/>
          <w:left w:w="0" w:type="dxa"/>
          <w:bottom w:w="0" w:type="dxa"/>
          <w:right w:w="0" w:type="dxa"/>
        </w:tblCellMar>
      </w:tblPr>
      <w:tblGrid>
        <w:gridCol w:w="1805"/>
        <w:gridCol w:w="60"/>
        <w:gridCol w:w="323"/>
        <w:gridCol w:w="866"/>
        <w:gridCol w:w="80"/>
      </w:tblGrid>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p>
        </w:tc>
        <w:tc>
          <w:tcPr>
            <w:tcW w:w="8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8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OIL AND NATURAL GAS PRODUCING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Full Cost Method Ceiling Test and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reserves used in the ceiling test incorporate assumptions regarding pricing and discount rates over which management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influence in the determination of present value. In the calculation of the ceiling test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used $71.90 per barrel for oil and $3.64 per </w:t>
      </w:r>
      <w:r>
        <w:rPr>
          <w:rStyle w:val="Emphasis"/>
          <w:rFonts w:ascii="Times New Roman" w:hAnsi="Times New Roman"/>
          <w:caps w:val="false"/>
          <w:smallCaps w:val="false"/>
          <w:sz w:val="20"/>
        </w:rPr>
        <w:t>one million</w:t>
      </w:r>
      <w:r>
        <w:rPr>
          <w:rFonts w:ascii="Times New Roman" w:hAnsi="Times New Roman"/>
          <w:caps w:val="false"/>
          <w:smallCaps w:val="false"/>
          <w:sz w:val="20"/>
        </w:rPr>
        <w:t xml:space="preserve"> British Thermal Units for natural gas (as further adjusted for property, specific gravity, quality, local markets and distance from markets) to compute the future cash flows of the Company’s producing properties. The discount factor used was 10%. No ceiling test write down was recorded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reserves used in the ceiling test incorporate assumptions regarding pricing and discount rates over which management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influence in the determination of present value. In the calculation of the ceiling test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Company used $70.48 per barrel for oil and $2.86 per </w:t>
      </w:r>
      <w:r>
        <w:rPr>
          <w:rStyle w:val="Emphasis"/>
          <w:rFonts w:ascii="Times New Roman" w:hAnsi="Times New Roman"/>
          <w:caps w:val="false"/>
          <w:smallCaps w:val="false"/>
          <w:sz w:val="20"/>
        </w:rPr>
        <w:t>one million</w:t>
      </w:r>
      <w:r>
        <w:rPr>
          <w:rFonts w:ascii="Times New Roman" w:hAnsi="Times New Roman"/>
          <w:caps w:val="false"/>
          <w:smallCaps w:val="false"/>
          <w:sz w:val="20"/>
        </w:rPr>
        <w:t xml:space="preserve"> British Thermal Units for natural gas (as further adjusted for property, specific gravity, quality, local markets and distance from markets) to compute the future cash flows of the Company’s producing properties. The discount factor used was 10%. The Company recorded a $2.8 million ceiling test write-down of its oil and natural gas properties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due to the reduction in the value of proved oil and natural gas reserves primarily as a result of a decrease in crude oil prices and reserve reductions from recent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5, 2022, </w:t>
      </w:r>
      <w:r>
        <w:rPr>
          <w:rFonts w:ascii="Times New Roman" w:hAnsi="Times New Roman"/>
          <w:caps w:val="false"/>
          <w:smallCaps w:val="false"/>
          <w:sz w:val="20"/>
        </w:rPr>
        <w:t xml:space="preserve">the Company entered into a four-year credit agreement (as amended to date, the “Credit Agreement”) with FirstBank Southwest (“FirstBank”) as administrative agent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lenders (the “Lenders”), which provided for a revolving line of credit with an initial borrowing base of $15 million, and a maximum credit amount of $100 million. Borrowings under the Credit Agreement are collateralized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perfected lien and security interests on substantially all assets of the Company (subject to permitted liens and other customary exceptions). On </w:t>
      </w:r>
      <w:r>
        <w:rPr>
          <w:rStyle w:val="Emphasis"/>
          <w:rFonts w:ascii="Times New Roman" w:hAnsi="Times New Roman"/>
          <w:caps w:val="false"/>
          <w:smallCaps w:val="false"/>
          <w:sz w:val="20"/>
        </w:rPr>
        <w:t xml:space="preserve">July 26, 2022, </w:t>
      </w:r>
      <w:r>
        <w:rPr>
          <w:rFonts w:ascii="Times New Roman" w:hAnsi="Times New Roman"/>
          <w:caps w:val="false"/>
          <w:smallCaps w:val="false"/>
          <w:sz w:val="20"/>
        </w:rPr>
        <w:t xml:space="preserve">the Company entered into a letter agreement with FirstBank whereby it increased the borrowing base under the Credit Agreement from $15 million to $20 million. Under the Credit Agreement, revolving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borrowed, repaid and re-borrowed until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when all outstanding amounts must be repaid.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16, 2025, </w:t>
      </w: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August 1, 2025, </w:t>
      </w:r>
      <w:r>
        <w:rPr>
          <w:rFonts w:ascii="Times New Roman" w:hAnsi="Times New Roman"/>
          <w:caps w:val="false"/>
          <w:smallCaps w:val="false"/>
          <w:sz w:val="20"/>
        </w:rPr>
        <w:t xml:space="preserve">the Company entered into a First Amendment to Credit Agreement and Limited Waiver ("Amendment") with FirstBank, as administrative agent for the lenders party thereto, and such lenders. Significant revisions made to the Credit Amendment as a result of the Amendment include extending the maturity date of amounts owed from </w:t>
      </w:r>
      <w:r>
        <w:rPr>
          <w:rStyle w:val="Emphasis"/>
          <w:rFonts w:ascii="Times New Roman" w:hAnsi="Times New Roman"/>
          <w:caps w:val="false"/>
          <w:smallCaps w:val="false"/>
          <w:sz w:val="20"/>
        </w:rPr>
        <w:t xml:space="preserve">January 5, 2026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31, 2029, </w:t>
      </w:r>
      <w:r>
        <w:rPr>
          <w:rFonts w:ascii="Times New Roman" w:hAnsi="Times New Roman"/>
          <w:caps w:val="false"/>
          <w:smallCaps w:val="false"/>
          <w:sz w:val="20"/>
        </w:rPr>
        <w:t xml:space="preserve">lowering the borrowing base from $20 million to $10 million and deferring the next test period for the ratio of total debt to EBITDAX to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expensed $53 thousand of remaining capitalized deferred financing costs associated with the Credit Agreement and capitalized $60 thousand of deferred financing costs attributable to the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Agreement contains various restrictive covenants and compliance requirements, which include: (i) maintenance of certain financial ratios, as defined in the Credit Agreement tested quarterly, that limit the Company’s ratio of total debt to EBITDAX (as defined in the Credit Agreement) to 3:1 and require its ratio of consolidated current assets to consolidated current liabilities (as each is described in the Credit Agreement) to remain at 1:1 or higher; (ii) restrictions on making certain payments as defined in the Credit Agreement, including the payment of cash dividends and repurchases of equity interests (subject to certain limited rights to make restricted payments as long 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event of default has occurred, or would result from the restricted payment, certain financial ratios are met and the borrowing availability after giving pro forma effect to any borrowing to be made on the date of the restricted payment is greater than, or equal to, 20% of the then existing borrowing base); (iii) limits on the incurrence of additional indebtedness; (iv) a prohibition on the entry into commodity swap contracts exceeding a specified percentage of our expected production; and (v) restrictions on the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17, 2026, </w:t>
      </w:r>
      <w:r>
        <w:rPr>
          <w:rFonts w:ascii="Times New Roman" w:hAnsi="Times New Roman"/>
          <w:caps w:val="false"/>
          <w:smallCaps w:val="false"/>
          <w:sz w:val="20"/>
        </w:rPr>
        <w:t xml:space="preserve">the Company entered into a Second Amendment (the “Second Amendment”) to its Credit Agreement.  The Second Amendment, among other things, (i) increased the borrowing base from $10.0 million to $20.0 million, (ii) revised the applicable margin on outstanding borrowings to a fixed 2.00% per annum, (iii) suspended testing of financial covenants through the fiscal quarter ending </w:t>
      </w:r>
      <w:r>
        <w:rPr>
          <w:rStyle w:val="Emphasis"/>
          <w:rFonts w:ascii="Times New Roman" w:hAnsi="Times New Roman"/>
          <w:caps w:val="false"/>
          <w:smallCaps w:val="false"/>
          <w:sz w:val="20"/>
        </w:rPr>
        <w:t xml:space="preserve">March 31, 2027, </w:t>
      </w:r>
      <w:r>
        <w:rPr>
          <w:rFonts w:ascii="Times New Roman" w:hAnsi="Times New Roman"/>
          <w:caps w:val="false"/>
          <w:smallCaps w:val="false"/>
          <w:sz w:val="20"/>
        </w:rPr>
        <w:t>and (iv) made certain other modifications to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Credit Agreement, revolving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borrowed, repaid and re-borrowed until </w:t>
      </w:r>
      <w:r>
        <w:rPr>
          <w:rStyle w:val="Emphasis"/>
          <w:rFonts w:ascii="Times New Roman" w:hAnsi="Times New Roman"/>
          <w:caps w:val="false"/>
          <w:smallCaps w:val="false"/>
          <w:sz w:val="20"/>
        </w:rPr>
        <w:t xml:space="preserve">May 31, 2029, </w:t>
      </w:r>
      <w:r>
        <w:rPr>
          <w:rFonts w:ascii="Times New Roman" w:hAnsi="Times New Roman"/>
          <w:caps w:val="false"/>
          <w:smallCaps w:val="false"/>
          <w:sz w:val="20"/>
        </w:rPr>
        <w:t xml:space="preserve">when all outstanding amounts must be repaid. In addition, there is a fee on the unused borrowing commitment of 0.5%. Interest expense from drawn balances recognized on the Credit Agreement and the weighted average interest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are presented in the following table:</w:t>
      </w:r>
    </w:p>
    <w:p>
      <w:pPr>
        <w:pStyle w:val="TextBody"/>
        <w:bidi w:val="0"/>
        <w:spacing w:before="0" w:after="0"/>
        <w:ind w:left="0" w:right="0" w:hanging="0"/>
        <w:jc w:val="both"/>
        <w:rPr>
          <w:caps w:val="false"/>
          <w:smallCaps w:val="false"/>
        </w:rPr>
      </w:pPr>
      <w:r>
        <w:rPr>
          <w:caps w:val="false"/>
          <w:smallCaps w:val="false"/>
        </w:rPr>
        <w:t> </w:t>
      </w:r>
    </w:p>
    <w:tbl>
      <w:tblPr>
        <w:tblW w:w="7777" w:type="dxa"/>
        <w:jc w:val="left"/>
        <w:tblInd w:w="0" w:type="dxa"/>
        <w:tblLayout w:type="fixed"/>
        <w:tblCellMar>
          <w:top w:w="0" w:type="dxa"/>
          <w:left w:w="0" w:type="dxa"/>
          <w:bottom w:w="0" w:type="dxa"/>
          <w:right w:w="0" w:type="dxa"/>
        </w:tblCellMar>
      </w:tblPr>
      <w:tblGrid>
        <w:gridCol w:w="2480"/>
        <w:gridCol w:w="60"/>
        <w:gridCol w:w="300"/>
        <w:gridCol w:w="660"/>
        <w:gridCol w:w="444"/>
        <w:gridCol w:w="144"/>
        <w:gridCol w:w="300"/>
        <w:gridCol w:w="660"/>
        <w:gridCol w:w="185"/>
        <w:gridCol w:w="60"/>
        <w:gridCol w:w="275"/>
        <w:gridCol w:w="605"/>
        <w:gridCol w:w="407"/>
        <w:gridCol w:w="132"/>
        <w:gridCol w:w="275"/>
        <w:gridCol w:w="605"/>
        <w:gridCol w:w="18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4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407"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5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4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407"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interest rate</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4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4"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4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COMMODITY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results of operations and cash flows are affected by changes in market prices for crude oil and natural gas. To manage a portion of its exposure to price volatility from producing crude oil and natural gas,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enter into commodity derivative contracts to protect against price declines in future periods.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derivative contracts for speculative or trading purposes.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apply hedge accounting. Accordingly, changes in the fair value of the derivative contracts are recorded in the Condensed Consolidated Statements of Operations and are included as a non-cash adjustment to net loss in the operating activities section in the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7, 2026, </w:t>
      </w:r>
      <w:r>
        <w:rPr>
          <w:rFonts w:ascii="Times New Roman" w:hAnsi="Times New Roman"/>
          <w:caps w:val="false"/>
          <w:smallCaps w:val="false"/>
          <w:sz w:val="20"/>
        </w:rPr>
        <w:t xml:space="preserve">the Company entered into derivative contracts to manage its exposure to fluctuations in crude oil prices. Specifically, the Company entered into a costless collar contract under which it sold call options with a strike price of $88.09 per barrel and purchased put options with a strike price of $65.00 per barrel, based on the monthly average West Texas Intermediate crude oil price. The contracts cover 3,800 barrels of oil per month for the period from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fair value gain of the oil contracts was $167 thousand and there were no cash settlements through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subject to litigation and claims arising in the ordinary course of business. The Company accrues for such items when a liability is both probable and the amount can be reasonably estimated. In the opinion of management, the anticipated results of any pending litigation and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effect on the results of operations, the financial position, or the cash flows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Subsequent to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identified a release of produced fluids from a gathering line. Response and remediation activities were initiated promptly, and the Company is coordinating with the applicable regulatory authorities. Based on information currently available, remediation activities are expected to be substantially completed within approximately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week, although environmental testing and monitoring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continue thereafter. Gross remediation and related costs are currently estimated to be up to approximately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submitted a claim under its general liability insurance policy, which provides coverage for pollution clean-up costs subject to a $100,000 per-occurrence deductible. If the claim is accepted, the Company's costs would generally be limited to the deductible; however, the amount and timing of any insurance recovery cannot be assured, and no insurance receivable has been recognized. Because the release occurred subsequent to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 to conditions that existed as of that date, no liability has been recognized as of that date.</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had 245,000,000 common stock shares authorized.  In addition,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had 5,000,000 authorized but unissued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10, 2026, </w:t>
      </w:r>
      <w:r>
        <w:rPr>
          <w:rFonts w:ascii="Times New Roman" w:hAnsi="Times New Roman"/>
          <w:caps w:val="false"/>
          <w:smallCaps w:val="false"/>
          <w:sz w:val="20"/>
        </w:rPr>
        <w:t>the Company closed on an underwritten offering of 8,800,000 shares of common stock, at a price to the public of $1.00 per share generating $8.1 million net of underwriting discounts and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22, 2025, </w:t>
      </w:r>
      <w:r>
        <w:rPr>
          <w:rFonts w:ascii="Times New Roman" w:hAnsi="Times New Roman"/>
          <w:caps w:val="false"/>
          <w:smallCaps w:val="false"/>
          <w:sz w:val="20"/>
        </w:rPr>
        <w:t>the Company entered into an underwriting agreement for the offering of 4,871,400 shares of common stock, at a price to the public of $2.65 per share (such offering,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sale of 4,871,400 shares of common stock (including the full 635,400 over-allotment option) in connection with the Offering, closed on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 xml:space="preserve">The Company generated approximately $11.9 million of net proceeds from the Offering, after deducting the underwriting discounts and commissions and offering costs payable by us, and plans to use such proceeds for the development of its acquisition in Montana, general corporate purposes, and working capital, or for other purposes that our board of directors, in their good faith, deems to be in the best interest of the Company. Additionally, management used $1.574 million from the over-allotment option exercise to purchase shares of common stock from Sage Road Capital, LLC (whose co-manager, Joshua L. Batchelor, was a then member of the Board of Directors of the Company) and its affiliates at a price equal to the public offering price of the Offering, less underwriting discounts, which sale took place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as discussed below.</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Related Party 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entered into a Share Repurchase Agreement with Banner Oil &amp; Gas, LLC (“Banner”), Woodford Petroleum, LLC (“Woodford”), and Sage Road Energy II, LP, (“Sage Road”, and together with Banner and Woodford, the “Selling Stockholders”). In his capacity as co-Managing Partner of Sage Road Capital, LLC, which indirectly controls and manages certain funds which own a majority interest in Banner, Woodford and Sage Road, Joshua L. Batchelor, a then member of the Board of Directors of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deemed to beneficially own the shares of common stock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Pursuant to the Share Repurchase Agreement, the Company, in a private transaction, outside of, and separate from the Company’s previously disclosed share repurchase program, 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repurchased (a) 534,020 shares of common stock held by Banner, (b) 41,229 shares of common stock held by Woodford, and (c) 60,151 shares of common stock held by Sage Road, for an aggregate of $1.574 million or approximately $2.48 per share, which was the net price per share of the 4,871,400 shares of common stock sold in our underwritten public offering which closed on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 xml:space="preserve">less underwriting discounts and commissions, and which represented an 8.2% premium to the closing sales price of the Company's common stock on </w:t>
      </w:r>
      <w:r>
        <w:rPr>
          <w:rStyle w:val="Emphasis"/>
          <w:rFonts w:ascii="Times New Roman" w:hAnsi="Times New Roman"/>
          <w:caps w:val="false"/>
          <w:smallCaps w:val="false"/>
          <w:sz w:val="20"/>
        </w:rPr>
        <w:t>January 27,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9, 2025, </w:t>
      </w:r>
      <w:r>
        <w:rPr>
          <w:rFonts w:ascii="Times New Roman" w:hAnsi="Times New Roman"/>
          <w:caps w:val="false"/>
          <w:smallCaps w:val="false"/>
          <w:sz w:val="20"/>
        </w:rPr>
        <w:t xml:space="preserve">the Company entered into a Common Stock Purchase Agreement and related Registration Rights Agreement with Roth Principal Investments, LLC ("Roth Principal"), providing a discretionary equity facility of up to $25.0 million. Beginning </w:t>
      </w:r>
      <w:r>
        <w:rPr>
          <w:rStyle w:val="Emphasis"/>
          <w:rFonts w:ascii="Times New Roman" w:hAnsi="Times New Roman"/>
          <w:caps w:val="false"/>
          <w:smallCaps w:val="false"/>
          <w:sz w:val="20"/>
        </w:rPr>
        <w:t xml:space="preserve">December 1, 2025, </w:t>
      </w: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option over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from the date the resale registration  was declared effective and certain other conditions  were met, sell shares of common stock to Roth Principal at a price based on the Nasdaq volume weighted average prices during a specific pricing period, less a 2.5% discount, subject to pricing and ownership limits. Sales under the facility were initially limited to 7,123,382 shares, or 19.99% of the shares of common stock outstanding immediately prior to the Company's entry into the Common Stock Purchase Agreement (the "Exchange Cap"), absent shareholder approval or satisfaction of the Nasdaq pricing exemption. On </w:t>
      </w:r>
      <w:r>
        <w:rPr>
          <w:rStyle w:val="Emphasis"/>
          <w:rFonts w:ascii="Times New Roman" w:hAnsi="Times New Roman"/>
          <w:caps w:val="false"/>
          <w:smallCaps w:val="false"/>
          <w:sz w:val="20"/>
        </w:rPr>
        <w:t xml:space="preserve">May 8, 2026, </w:t>
      </w:r>
      <w:r>
        <w:rPr>
          <w:rFonts w:ascii="Times New Roman" w:hAnsi="Times New Roman"/>
          <w:caps w:val="false"/>
          <w:smallCaps w:val="false"/>
          <w:sz w:val="20"/>
        </w:rPr>
        <w:t xml:space="preserve">the Company's stockholders approved the issuance of shares of common stock under the Common Stock Purchase Agreement in excess of the Exchange Cap for purposes of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 xml:space="preserve">(d), and the Exchange Cap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limits issuances under the facility. The facility remains subject to a 4.99% beneficial ownership limitation applicable to Roth Principal. As consideration, the Company paid a $25 thousand structuring fee, issued 223,141 shares of common stock as a partial commitment fee (valued at $270,000) (the "Stock Commitment Fee"), agreed to a $180 thousand cash commitment fee, and to reimburse legal fees. Proceeds, if any, are expected to be used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sold 8,548,382 shares under the Committed Equity Facility and generated $9.1 million in proceeds net of financing costs.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availability under the Committed Equity Facility is the lesser of $15.9 million or the issuance of 15,328,477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Option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stock options under its incentive plans covering shares of common stock to employees and directors of the Company. Stock options, when exercised, are settled through the payment of the exercise price in exchange for new shares of stock underlying the option. These awards typically expire ten years from the grant date. Compensation cost is recognized on a straight-line basis over the requisite service period of each award and is included in general and administrative expense. Forfeitures are recognized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Option activity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as follows:</w:t>
      </w:r>
    </w:p>
    <w:p>
      <w:pPr>
        <w:pStyle w:val="TextBody"/>
        <w:bidi w:val="0"/>
        <w:spacing w:before="0" w:after="0"/>
        <w:ind w:left="0" w:right="0" w:hanging="0"/>
        <w:jc w:val="both"/>
        <w:rPr>
          <w:caps w:val="false"/>
          <w:smallCaps w:val="false"/>
        </w:rPr>
      </w:pPr>
      <w:r>
        <w:rPr>
          <w:caps w:val="false"/>
          <w:smallCaps w:val="false"/>
        </w:rPr>
        <w:t> </w:t>
      </w:r>
    </w:p>
    <w:tbl>
      <w:tblPr>
        <w:tblW w:w="6380" w:type="dxa"/>
        <w:jc w:val="left"/>
        <w:tblInd w:w="0" w:type="dxa"/>
        <w:tblLayout w:type="fixed"/>
        <w:tblCellMar>
          <w:top w:w="0" w:type="dxa"/>
          <w:left w:w="0" w:type="dxa"/>
          <w:bottom w:w="0" w:type="dxa"/>
          <w:right w:w="0" w:type="dxa"/>
        </w:tblCellMar>
      </w:tblPr>
      <w:tblGrid>
        <w:gridCol w:w="2840"/>
        <w:gridCol w:w="60"/>
        <w:gridCol w:w="60"/>
        <w:gridCol w:w="845"/>
        <w:gridCol w:w="60"/>
        <w:gridCol w:w="60"/>
        <w:gridCol w:w="256"/>
        <w:gridCol w:w="994"/>
        <w:gridCol w:w="60"/>
        <w:gridCol w:w="60"/>
        <w:gridCol w:w="183"/>
        <w:gridCol w:w="842"/>
        <w:gridCol w:w="60"/>
      </w:tblGrid>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Weighted-Avg.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Options granted prior to </w:t>
      </w:r>
      <w:r>
        <w:rPr>
          <w:rStyle w:val="Emphasis"/>
          <w:rFonts w:ascii="Times New Roman" w:hAnsi="Times New Roman"/>
          <w:b/>
          <w:i/>
          <w:caps w:val="false"/>
          <w:smallCaps w:val="false"/>
          <w:sz w:val="20"/>
        </w:rPr>
        <w:t>2026.</w:t>
      </w:r>
      <w:r>
        <w:rPr>
          <w:rFonts w:ascii="Times New Roman" w:hAnsi="Times New Roman"/>
          <w:caps w:val="false"/>
          <w:smallCaps w:val="false"/>
          <w:sz w:val="20"/>
        </w:rPr>
        <w:t xml:space="preserve"> The 16,500 options outstanding at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were granted in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under the Company's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Equity Plan and were fully vested as of that date. These options have a weighted-average exercise price of $10.00 and expire between </w:t>
      </w:r>
      <w:r>
        <w:rPr>
          <w:rStyle w:val="Emphasis"/>
          <w:rFonts w:ascii="Times New Roman" w:hAnsi="Times New Roman"/>
          <w:caps w:val="false"/>
          <w:smallCaps w:val="false"/>
          <w:sz w:val="20"/>
        </w:rPr>
        <w:t xml:space="preserve">August 2027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November 2027, </w:t>
      </w:r>
      <w:r>
        <w:rPr>
          <w:rFonts w:ascii="Times New Roman" w:hAnsi="Times New Roman"/>
          <w:caps w:val="false"/>
          <w:smallCaps w:val="false"/>
          <w:sz w:val="20"/>
        </w:rPr>
        <w:t xml:space="preserve">with a weighted-average remaining contractual term of 1.3 years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options in this group were granted, exercised, forfeited or expired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These options were outstanding and vested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stock-based compensation expense was recognized related to these options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unrecognized compensation cost remains.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 xml:space="preserve">March 4, 2026 </w:t>
      </w:r>
      <w:r>
        <w:rPr>
          <w:rFonts w:ascii="Times New Roman" w:hAnsi="Times New Roman"/>
          <w:b/>
          <w:i/>
          <w:caps w:val="false"/>
          <w:smallCaps w:val="false"/>
          <w:sz w:val="20"/>
        </w:rPr>
        <w:t>grant.</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March 4, 2026, </w:t>
      </w:r>
      <w:r>
        <w:rPr>
          <w:rFonts w:ascii="Times New Roman" w:hAnsi="Times New Roman"/>
          <w:caps w:val="false"/>
          <w:smallCaps w:val="false"/>
          <w:sz w:val="20"/>
        </w:rPr>
        <w:t xml:space="preserve">the Company granted stock options to employees and directors to purchase 3,517,500 shares of common stock at an exercise price of $1.11 per share, expiring </w:t>
      </w:r>
      <w:r>
        <w:rPr>
          <w:rStyle w:val="Emphasis"/>
          <w:rFonts w:ascii="Times New Roman" w:hAnsi="Times New Roman"/>
          <w:caps w:val="false"/>
          <w:smallCaps w:val="false"/>
          <w:sz w:val="20"/>
        </w:rPr>
        <w:t xml:space="preserve">March 4, 2036. </w:t>
      </w:r>
      <w:r>
        <w:rPr>
          <w:rFonts w:ascii="Times New Roman" w:hAnsi="Times New Roman"/>
          <w:caps w:val="false"/>
          <w:smallCaps w:val="false"/>
          <w:sz w:val="20"/>
        </w:rPr>
        <w:t xml:space="preserve">Of these options, approximately 1.38 million vest over ten months inclusive of </w:t>
      </w:r>
      <w:r>
        <w:rPr>
          <w:rStyle w:val="Emphasis"/>
          <w:rFonts w:ascii="Times New Roman" w:hAnsi="Times New Roman"/>
          <w:caps w:val="false"/>
          <w:smallCaps w:val="false"/>
          <w:sz w:val="20"/>
        </w:rPr>
        <w:t xml:space="preserve">March 2026, </w:t>
      </w:r>
      <w:r>
        <w:rPr>
          <w:rFonts w:ascii="Times New Roman" w:hAnsi="Times New Roman"/>
          <w:caps w:val="false"/>
          <w:smallCaps w:val="false"/>
          <w:sz w:val="20"/>
        </w:rPr>
        <w:t xml:space="preserve">1.50 million vest ratably over four years, beginning </w:t>
      </w:r>
      <w:r>
        <w:rPr>
          <w:rStyle w:val="Emphasis"/>
          <w:rFonts w:ascii="Times New Roman" w:hAnsi="Times New Roman"/>
          <w:caps w:val="false"/>
          <w:smallCaps w:val="false"/>
          <w:sz w:val="20"/>
        </w:rPr>
        <w:t xml:space="preserve">January 2, 2027, </w:t>
      </w:r>
      <w:r>
        <w:rPr>
          <w:rFonts w:ascii="Times New Roman" w:hAnsi="Times New Roman"/>
          <w:caps w:val="false"/>
          <w:smallCaps w:val="false"/>
          <w:sz w:val="20"/>
        </w:rPr>
        <w:t xml:space="preserve">and 637,500 vest ratably over two years, beginning </w:t>
      </w:r>
      <w:r>
        <w:rPr>
          <w:rStyle w:val="Emphasis"/>
          <w:rFonts w:ascii="Times New Roman" w:hAnsi="Times New Roman"/>
          <w:caps w:val="false"/>
          <w:smallCaps w:val="false"/>
          <w:sz w:val="20"/>
        </w:rPr>
        <w:t>January 2,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weighted-average grant-date fair value of these options was approximately $0.77 per option, or $2.7 million in the aggregate, as determined using the Black-Scholes option pricing model utilizing the following weighted-average assumptions.</w:t>
      </w:r>
    </w:p>
    <w:p>
      <w:pPr>
        <w:pStyle w:val="TextBody"/>
        <w:bidi w:val="0"/>
        <w:spacing w:before="0" w:after="0"/>
        <w:ind w:left="0"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045"/>
        <w:gridCol w:w="755"/>
      </w:tblGrid>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7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 years</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3.77%</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 yield</w:t>
            </w:r>
          </w:p>
        </w:tc>
        <w:tc>
          <w:tcPr>
            <w:tcW w:w="7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Expected term ranged from 5.4 years to 6.9 years across the vesting groups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Expected volatility was estimated based on the historical volatility of the Company's common stock over a lookback period deemed representative of the expected life of the options, taking into consideration the Company's historical trading data and significant corporate developments. The Company evaluated historical volatility using daily stock price data and considered the impact of changes in its business strategy and market conditions over the look-back period. Due to limited historical exercise data and changes in the Company's operations, management applied judgment in selecting an appropriate volatility assumption reflective of the expected term of the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Activity for unvested options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as follows:</w:t>
      </w:r>
    </w:p>
    <w:p>
      <w:pPr>
        <w:pStyle w:val="TextBody"/>
        <w:bidi w:val="0"/>
        <w:spacing w:before="0" w:after="0"/>
        <w:ind w:left="0" w:right="0" w:hanging="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3905"/>
        <w:gridCol w:w="60"/>
        <w:gridCol w:w="60"/>
        <w:gridCol w:w="845"/>
        <w:gridCol w:w="80"/>
        <w:gridCol w:w="60"/>
        <w:gridCol w:w="309"/>
        <w:gridCol w:w="941"/>
        <w:gridCol w:w="60"/>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Weighted-Avg.</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Grant-Date</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Per Option</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stock options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0.73</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stock options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recognized stock-based compensation of approximately $501 thousand and $696 thousand, respectively, related to the </w:t>
      </w:r>
      <w:r>
        <w:rPr>
          <w:rStyle w:val="Emphasis"/>
          <w:rFonts w:ascii="Times New Roman" w:hAnsi="Times New Roman"/>
          <w:caps w:val="false"/>
          <w:smallCaps w:val="false"/>
          <w:sz w:val="20"/>
        </w:rPr>
        <w:t xml:space="preserve">March 4, 2026 </w:t>
      </w:r>
      <w:r>
        <w:rPr>
          <w:rFonts w:ascii="Times New Roman" w:hAnsi="Times New Roman"/>
          <w:caps w:val="false"/>
          <w:smallCaps w:val="false"/>
          <w:sz w:val="20"/>
        </w:rPr>
        <w:t xml:space="preserve">grants. No stock-based compensation expense related to stock options was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total unrecognized compensation cost related to these awards was approximately $2.0 million, which is expected to be recognized over a weighted-average period of 2.3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grants restricted stock under its incentive plans covering shares of common stock to employees and directors of the Company. All of the restricted stock awards are time-based awards and are amortized ratably from grant date over a requisite service period. Forfeitures of restricted stock awards are recognized as they occur. Restricted stock granted to employees is reduced by shares forfeited to pay withholding tax. Non-vested shares of restricted stock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common shares outstanding until vesting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presents the changes in non-vested restricted stock awards to all employees and directors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4265"/>
        <w:gridCol w:w="60"/>
        <w:gridCol w:w="60"/>
        <w:gridCol w:w="845"/>
        <w:gridCol w:w="80"/>
        <w:gridCol w:w="60"/>
        <w:gridCol w:w="309"/>
        <w:gridCol w:w="941"/>
        <w:gridCol w:w="60"/>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Weighted-Avg.</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restricted stock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1,428,680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60"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(735,514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60"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restricted stock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$0.4 million and $1.0 million, respectively of stock compensation expense related to restricted stock grants. Unrecognized compensation cost related to non-vested awards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recorded in the Company’s Condensed Consolidated Statements of Operations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$0.7 million. This cost is expected to be recognized over a weighted average period of 1.1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the Board of Directors of the Company authorized and approved an extension of the ongoing share repurchase program for up to $5.0 million of the outstanding shares of the Company’s common stock originally approved by the Board of Directors on </w:t>
      </w:r>
      <w:r>
        <w:rPr>
          <w:rStyle w:val="Emphasis"/>
          <w:rFonts w:ascii="Times New Roman" w:hAnsi="Times New Roman"/>
          <w:caps w:val="false"/>
          <w:smallCaps w:val="false"/>
          <w:sz w:val="20"/>
        </w:rPr>
        <w:t xml:space="preserve">April 26, 2023, </w:t>
      </w:r>
      <w:r>
        <w:rPr>
          <w:rFonts w:ascii="Times New Roman" w:hAnsi="Times New Roman"/>
          <w:caps w:val="false"/>
          <w:smallCaps w:val="false"/>
          <w:sz w:val="20"/>
        </w:rPr>
        <w:t xml:space="preserve">and subsequently extended. The share repurchase program expired on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reauthorized at the discretion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stock repurchase program, shares are repurchased from time to time in the open market or through negotiated transactions at prevailing market prices, or by other means in accordance with federal securities laws. Repurchases are made at management’s discretion at prices management considers to be attractive and in the best interests of both the Company and its stockholders, subject to the availability of stock, general market conditions, the trading price of the stock, alternative uses for capital, and the Company’s financial performance. The repurchase program is funded using the Company’s working capital. The repurchased shares are cancelled and therefore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held in treasury or reissued.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the activity in the share repurchase program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49" w:type="dxa"/>
        <w:jc w:val="left"/>
        <w:tblInd w:w="0" w:type="dxa"/>
        <w:tblLayout w:type="fixed"/>
        <w:tblCellMar>
          <w:top w:w="0" w:type="dxa"/>
          <w:left w:w="0" w:type="dxa"/>
          <w:bottom w:w="0" w:type="dxa"/>
          <w:right w:w="0" w:type="dxa"/>
        </w:tblCellMar>
      </w:tblPr>
      <w:tblGrid>
        <w:gridCol w:w="2705"/>
        <w:gridCol w:w="60"/>
        <w:gridCol w:w="335"/>
        <w:gridCol w:w="214"/>
        <w:gridCol w:w="161"/>
        <w:gridCol w:w="161"/>
        <w:gridCol w:w="335"/>
        <w:gridCol w:w="1301"/>
        <w:gridCol w:w="60"/>
        <w:gridCol w:w="60"/>
        <w:gridCol w:w="307"/>
        <w:gridCol w:w="196"/>
        <w:gridCol w:w="147"/>
        <w:gridCol w:w="147"/>
        <w:gridCol w:w="307"/>
        <w:gridCol w:w="1193"/>
        <w:gridCol w:w="60"/>
      </w:tblGrid>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6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ind w:left="0" w:right="0" w:hanging="0"/>
              <w:jc w:val="left"/>
              <w:rPr/>
            </w:pPr>
            <w:r>
              <w:rPr/>
              <w:t> </w:t>
            </w:r>
          </w:p>
        </w:tc>
        <w:tc>
          <w:tcPr>
            <w:tcW w:w="13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ind w:left="0" w:right="0" w:hanging="0"/>
              <w:jc w:val="left"/>
              <w:rPr/>
            </w:pPr>
            <w:r>
              <w:rPr/>
              <w:t> </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1.610</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shares repurchased</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asset retirement obligations (“ARO”) associated with the future plugging and abandonment of proved properties. Initially, the fair value of a liability for an ARO is recorded in the period in which the ARO is incurred with a corresponding increase in the carrying amount of the related asset. The liability is accreted to its present value each period and the capitalized cost is depleted over the life of the related asset. If the liability is settled for an amount other than the recorded amount, an adjustment to the full cost pool is recognized. The Company had no assets that are restricted for the purpose of settling ARO.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fair value calculation for the ARO, there are a number of assumptions and judgments, including the ultimate retirement cost, inflation factors, credit-adjusted risk-free discount rates, timing of retirement and changes in legal, regulatory, environmental, and political environments. To the extent future revisions to assumptions and judgments impact the present value of the existing ARO, a corresponding adjustment is made to the oil and natural gas property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reconciliation of the changes in the Company’s liabilities for asset retirement obligations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288" w:type="dxa"/>
        <w:jc w:val="left"/>
        <w:tblInd w:w="0" w:type="dxa"/>
        <w:tblLayout w:type="fixed"/>
        <w:tblCellMar>
          <w:top w:w="0" w:type="dxa"/>
          <w:left w:w="0" w:type="dxa"/>
          <w:bottom w:w="0" w:type="dxa"/>
          <w:right w:w="0" w:type="dxa"/>
        </w:tblCellMar>
      </w:tblPr>
      <w:tblGrid>
        <w:gridCol w:w="2210"/>
        <w:gridCol w:w="60"/>
        <w:gridCol w:w="243"/>
        <w:gridCol w:w="946"/>
        <w:gridCol w:w="80"/>
        <w:gridCol w:w="60"/>
        <w:gridCol w:w="280"/>
        <w:gridCol w:w="1329"/>
        <w:gridCol w:w="8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14,083</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or incurred</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life revisions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Plugged</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Sold</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Accretion</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Balance,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8,006</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 The Company’s effective tax rate was approximately 0% and 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 primary difference in the Company’s effective tax rate and the statutory rate for both periods is related to the movement in the valuation allowance against the Company’s net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taxes are recognized for the expected future tax consequences of temporary differences between the financial statement and tax basis of assets, liabilities, net operating losses and tax credit carry-forwards. We review our deferred tax assets (“DTAs”) and valuation allowance on a quarterly basis. As part of our review, we consider positive and negative evidence, including cumulative results in recent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recognizes, measures, and discloses uncertain tax positions whereby tax positions must meet a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threshold to be recognized.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no adjustments were recognized for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net income (loss) per common share is calculated by dividing net income (loss) attributable to common shareholders by the weighted-average number of common shares outstanding for the respective period. Diluted net income (loss) per common share is calculated by dividing adjusted net income by the diluted weighted average number of common shares outstanding, which includes the effect of potentially dilutive securities. Potentially dilutive securities for this calculation consist of stock options and unvested shares of restricted common stock, which are measured using the treasury stock method. When the Company recognizes a net loss, all potentially dilutive shares are anti-dilutive and are consequently excluded from the calculation of dilutive net loss per common share. Unvested shares of restricted stock participate in dividend distributions; however,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participate in losses. Therefore, dividends, if any, attributable to participating securities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as a reduction in the calculation of loss attributable to common shareholders.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sets forth the calculation of basic and diluted net loss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499" w:type="dxa"/>
        <w:jc w:val="left"/>
        <w:tblInd w:w="0" w:type="dxa"/>
        <w:tblLayout w:type="fixed"/>
        <w:tblCellMar>
          <w:top w:w="0" w:type="dxa"/>
          <w:left w:w="0" w:type="dxa"/>
          <w:bottom w:w="0" w:type="dxa"/>
          <w:right w:w="0" w:type="dxa"/>
        </w:tblCellMar>
      </w:tblPr>
      <w:tblGrid>
        <w:gridCol w:w="4415"/>
        <w:gridCol w:w="60"/>
        <w:gridCol w:w="199"/>
        <w:gridCol w:w="943"/>
        <w:gridCol w:w="127"/>
        <w:gridCol w:w="95"/>
        <w:gridCol w:w="199"/>
        <w:gridCol w:w="943"/>
        <w:gridCol w:w="80"/>
        <w:gridCol w:w="60"/>
        <w:gridCol w:w="183"/>
        <w:gridCol w:w="864"/>
        <w:gridCol w:w="117"/>
        <w:gridCol w:w="87"/>
        <w:gridCol w:w="183"/>
        <w:gridCol w:w="864"/>
        <w:gridCol w:w="80"/>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44"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 data)</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(5,465</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52,393</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46,554</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potentially dilutive securities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52,393</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46,554</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33,371</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Potential common shares, including restricted stock and stock options issued to employees and directors disclosed in </w:t>
      </w:r>
      <w:r>
        <w:rPr>
          <w:rFonts w:ascii="Times New Roman" w:hAnsi="Times New Roman"/>
          <w:i/>
          <w:caps w:val="false"/>
          <w:smallCaps w:val="false"/>
          <w:sz w:val="20"/>
        </w:rPr>
        <w:t xml:space="preserve">Note </w:t>
      </w:r>
      <w:r>
        <w:rPr>
          <w:rStyle w:val="Emphasis"/>
          <w:rFonts w:ascii="Times New Roman" w:hAnsi="Times New Roman"/>
          <w:i/>
          <w:caps w:val="false"/>
          <w:smallCaps w:val="false"/>
          <w:sz w:val="20"/>
        </w:rPr>
        <w:t>9</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i/>
          <w:caps w:val="false"/>
          <w:smallCaps w:val="false"/>
          <w:sz w:val="20"/>
        </w:rPr>
        <w:t>Shareholders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were excluded from the computation of diluted earnings per share because their effect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fair value measurements are estimated pursuant to a fair value hierarchy that requires us to maximize the use of observable inputs and minimize the use of unobservable inputs when measuring fair value. The valuation hierarchy is based upon the transparency of inputs to the valuation of an asset or liability as of the measurement date, giving highest priority to quoted prices in active markets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the lowest priority to unobservable data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 some cases, the inputs used to measure fair value might fall in different levels of the fair value hierarchy. The lowest level input that is significant to a fair value measurement in its entirety determines the applicable level in the fair value hierarchy. Assessing the significance of a particular input to the fair value measurement in its entirety requires judgment, considering factors specific to the asset or liability,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affect the valuation of the assets and liabilities and their placement within the hierarchy level.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of inputs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 are defined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Quoted prices for identical assets and liabilities traded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Observable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directly or indirectly observable for the asset or liability, including quoted prices for similar assets or liabilities in active markets, quoted prices for identical or similar assets or liabilities in active markets, or other observable inputs that can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for financial instruments whose value is determined using pricing models, discounted cash flow methodologies, or similar techniques, as well as instruments for which the determination of fair value requires significant management judgment or estimation.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 The following is a description of the valuation methodologies used for complex financial instruments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Marketable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measure the fair value of marketable equity securities based on quoted market prices obtained from independent pricing services. The Company has an investment in the marketable equity securities of Anfield Energy (“Anfield”), which it acquired as consideration for sales of certain mining operations. Anfield is traded in an active market under the trading symbol AEC:TSXV and has been classified as Level </w:t>
      </w:r>
      <w:r>
        <w:rPr>
          <w:rStyle w:val="Emphasis"/>
          <w:rFonts w:ascii="Times New Roman" w:hAnsi="Times New Roman"/>
          <w:caps w:val="false"/>
          <w:smallCaps w:val="false"/>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We have approximately 32.3 thousand shares of marketable equity securities valued at $116 thousand and $145 thousand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facility approximates fair value because the interest rate is variable and reflective of market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value of financial instruments included in current assets and current liabilities approximate fair value due to the short-term nature of those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Nonrecurring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measures the fair value of asset retirement obligations as of the date a well is acquired, the date a well begins drilling, or the date the Company revises its ARO assumptions. The Company’s estimated AROs are based on historical experience in plugging and abandoning wells, estimated economic lives, estimated plugging and abandonment costs and federal and state regulatory requirements, all unobservable inputs, and therefore, are designated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valuation hierarchy. The liability is discounted using the credit-adjusted risk-free rate estimated at the time the liability is incurred or revised upwards. The credit adjusted risk-free rate used to discount the Company’s plugging and abandonment liabilities range from 7.30% to 19.00%. See </w:t>
      </w:r>
      <w:r>
        <w:rPr>
          <w:rFonts w:ascii="Times New Roman" w:hAnsi="Times New Roman"/>
          <w:i/>
          <w:caps w:val="false"/>
          <w:smallCaps w:val="false"/>
          <w:sz w:val="20"/>
        </w:rPr>
        <w:t xml:space="preserve">Note </w:t>
      </w:r>
      <w:r>
        <w:rPr>
          <w:rStyle w:val="Emphasis"/>
          <w:rFonts w:ascii="Times New Roman" w:hAnsi="Times New Roman"/>
          <w:i/>
          <w:caps w:val="false"/>
          <w:smallCaps w:val="false"/>
          <w:sz w:val="20"/>
        </w:rPr>
        <w:t>10</w:t>
      </w:r>
      <w:r>
        <w:rPr>
          <w:rFonts w:ascii="Times New Roman" w:hAnsi="Times New Roman"/>
          <w:caps w:val="false"/>
          <w:smallCaps w:val="false"/>
          <w:sz w:val="20"/>
        </w:rPr>
        <w:t>-</w:t>
      </w:r>
      <w:r>
        <w:rPr>
          <w:rFonts w:ascii="Times New Roman" w:hAnsi="Times New Roman"/>
          <w:i/>
          <w:caps w:val="false"/>
          <w:smallCaps w:val="false"/>
          <w:sz w:val="20"/>
        </w:rPr>
        <w:t>Asset Retirement Obligations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measures the fair value of stock option awards as of the grant date using a Black-Scholes option pricing model. The fair value of stock options is based on a number of assumptions, including the expected term of the awards, expected volatility of the Company’s common stock, risk-free interest rate, and expected dividend yield. These inputs involve significant management judgment and are therefore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Expected volatility is estimated based on the historical volatility of the Company’s common stock over a lookback period deemed representative of the expected life of the options, taking into consideration the Company’s historical trading data and significant corporate developments. The expected term is estimated using the simplified method, as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sufficient historical exercise data. The risk-free interest rate is based on U.S. Treasury yields in effect at the time of grant for maturities consistent with the expected term of the awards. The expected dividend yield is assumed to be zero, as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dividends since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doing so in the foreseeable future.  See </w:t>
      </w:r>
      <w:r>
        <w:rPr>
          <w:rFonts w:ascii="Times New Roman" w:hAnsi="Times New Roman"/>
          <w:i/>
          <w:caps w:val="false"/>
          <w:smallCaps w:val="false"/>
          <w:sz w:val="20"/>
        </w:rPr>
        <w:t xml:space="preserve">Note </w:t>
      </w:r>
      <w:r>
        <w:rPr>
          <w:rStyle w:val="Emphasis"/>
          <w:rFonts w:ascii="Times New Roman" w:hAnsi="Times New Roman"/>
          <w:i/>
          <w:caps w:val="false"/>
          <w:smallCaps w:val="false"/>
          <w:sz w:val="20"/>
        </w:rPr>
        <w:t>9</w:t>
      </w:r>
      <w:r>
        <w:rPr>
          <w:rFonts w:ascii="Times New Roman" w:hAnsi="Times New Roman"/>
          <w:caps w:val="false"/>
          <w:smallCaps w:val="false"/>
          <w:sz w:val="20"/>
        </w:rPr>
        <w:t>—</w:t>
      </w:r>
      <w:r>
        <w:rPr>
          <w:rFonts w:ascii="Times New Roman" w:hAnsi="Times New Roman"/>
          <w:i/>
          <w:caps w:val="false"/>
          <w:smallCaps w:val="false"/>
          <w:sz w:val="20"/>
        </w:rPr>
        <w:t>Shareholders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OTHER CURRENT ASSETS AND ACCOUNTS PAYABLE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components of other current assets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5688" w:type="dxa"/>
        <w:jc w:val="left"/>
        <w:tblInd w:w="0" w:type="dxa"/>
        <w:tblLayout w:type="fixed"/>
        <w:tblCellMar>
          <w:top w:w="0" w:type="dxa"/>
          <w:left w:w="0" w:type="dxa"/>
          <w:bottom w:w="0" w:type="dxa"/>
          <w:right w:w="0" w:type="dxa"/>
        </w:tblCellMar>
      </w:tblPr>
      <w:tblGrid>
        <w:gridCol w:w="2630"/>
        <w:gridCol w:w="60"/>
        <w:gridCol w:w="243"/>
        <w:gridCol w:w="946"/>
        <w:gridCol w:w="60"/>
        <w:gridCol w:w="60"/>
        <w:gridCol w:w="436"/>
        <w:gridCol w:w="1173"/>
        <w:gridCol w:w="8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Joint interest billings receivable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receivable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offering costs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776</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Accounts Payable and Accrued Liabilities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components of accounts payable and accrued liabilities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7903" w:type="dxa"/>
        <w:jc w:val="left"/>
        <w:tblInd w:w="0" w:type="dxa"/>
        <w:tblLayout w:type="fixed"/>
        <w:tblCellMar>
          <w:top w:w="0" w:type="dxa"/>
          <w:left w:w="0" w:type="dxa"/>
          <w:bottom w:w="0" w:type="dxa"/>
          <w:right w:w="0" w:type="dxa"/>
        </w:tblCellMar>
      </w:tblPr>
      <w:tblGrid>
        <w:gridCol w:w="4865"/>
        <w:gridCol w:w="60"/>
        <w:gridCol w:w="243"/>
        <w:gridCol w:w="946"/>
        <w:gridCol w:w="60"/>
        <w:gridCol w:w="60"/>
        <w:gridCol w:w="329"/>
        <w:gridCol w:w="1280"/>
        <w:gridCol w:w="60"/>
      </w:tblGrid>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 and oil and natural gas property accruals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Payable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 payable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benefits and other</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SUPPLEMENTAL DISCLOSURES OF CASH FLOW INFORMATION</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0" w:type="dxa"/>
        <w:tblLayout w:type="fixed"/>
        <w:tblCellMar>
          <w:top w:w="0" w:type="dxa"/>
          <w:left w:w="0" w:type="dxa"/>
          <w:bottom w:w="0" w:type="dxa"/>
          <w:right w:w="0" w:type="dxa"/>
        </w:tblCellMar>
      </w:tblPr>
      <w:tblGrid>
        <w:gridCol w:w="5240"/>
        <w:gridCol w:w="60"/>
        <w:gridCol w:w="285"/>
        <w:gridCol w:w="904"/>
        <w:gridCol w:w="93"/>
        <w:gridCol w:w="69"/>
        <w:gridCol w:w="221"/>
        <w:gridCol w:w="968"/>
        <w:gridCol w:w="80"/>
      </w:tblGrid>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capital expenditure accruals</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acquisition of industrial gas properties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 retirement obligations</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 charged to additional paid-in capital</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Interest expense of $63 thousand dollars were capitalized as part of the industrial gas processing plant construction expenses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Subsequent to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borrowed an additional $4.0 million under its existing credit facility. The proceeds were used to fund capital expenditures associated with the construction of the Company's industrial gas processing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information should be read in conjunction with the interim unaudited Condensed Consolidated Financial Statements and the notes thereto included in this Quarterly Report on Form 10-Q, and the audited Consolidated Financial Statements and notes thereto and “Management’s Discussion and Analysis of Financial Condition and Results of Operations” contained in our Annual Report on Form 10-K for the year ended December 31, 2025, filed with the Securities and Exchange Commission on March 13, 2026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abbreviations and oil and gas industry terms used throughout this Report are described and defined in greater detail under “Glossary of Oil, Natural and Industrial Gas Terms” on page 4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capitalized terms used below and otherwise defined below, have the meanings given to such terms in the footnotes to our unaudited Condensed Consolidated Financial Statements included above under “Part I - Financial Information” – “Item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this Quarterly Report on Form 10-Q, we may rely on and refer to information regarding the industries in which we operate in general from market research reports, analyst reports and other publicly available information. Although we believe that this information is reliable, we cannot guarantee the accuracy and completeness of this information, we have not independently verified any of it, and we have not commissioned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also “Cautionary Statement About “Forward-Looking Statements”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the context requires otherwise, references to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we,</w:t>
      </w:r>
      <w:r>
        <w:rPr>
          <w:rFonts w:ascii="Times New Roman" w:hAnsi="Times New Roman"/>
          <w:caps w:val="false"/>
          <w:smallCaps w:val="false"/>
          <w:sz w:val="20"/>
        </w:rPr>
        <w:t>” “</w:t>
      </w:r>
      <w:r>
        <w:rPr>
          <w:rFonts w:ascii="Times New Roman" w:hAnsi="Times New Roman"/>
          <w:caps w:val="false"/>
          <w:smallCaps w:val="false"/>
          <w:sz w:val="20"/>
          <w:u w:val="single"/>
        </w:rPr>
        <w:t>us,</w:t>
      </w:r>
      <w:r>
        <w:rPr>
          <w:rFonts w:ascii="Times New Roman" w:hAnsi="Times New Roman"/>
          <w:caps w:val="false"/>
          <w:smallCaps w:val="false"/>
          <w:sz w:val="20"/>
        </w:rPr>
        <w:t>” “</w:t>
      </w:r>
      <w:r>
        <w:rPr>
          <w:rFonts w:ascii="Times New Roman" w:hAnsi="Times New Roman"/>
          <w:caps w:val="false"/>
          <w:smallCaps w:val="false"/>
          <w:sz w:val="20"/>
          <w:u w:val="single"/>
        </w:rPr>
        <w:t>our,</w:t>
      </w:r>
      <w:r>
        <w:rPr>
          <w:rFonts w:ascii="Times New Roman" w:hAnsi="Times New Roman"/>
          <w:caps w:val="false"/>
          <w:smallCaps w:val="false"/>
          <w:sz w:val="20"/>
        </w:rPr>
        <w:t>” “</w:t>
      </w:r>
      <w:r>
        <w:rPr>
          <w:rFonts w:ascii="Times New Roman" w:hAnsi="Times New Roman"/>
          <w:caps w:val="false"/>
          <w:smallCaps w:val="false"/>
          <w:sz w:val="20"/>
          <w:u w:val="single"/>
        </w:rPr>
        <w:t>Big Sky Industrial Inc.</w:t>
      </w:r>
      <w:r>
        <w:rPr>
          <w:rFonts w:ascii="Times New Roman" w:hAnsi="Times New Roman"/>
          <w:caps w:val="false"/>
          <w:smallCaps w:val="false"/>
          <w:sz w:val="20"/>
        </w:rPr>
        <w:t>”, and “</w:t>
      </w:r>
      <w:r>
        <w:rPr>
          <w:rFonts w:ascii="Times New Roman" w:hAnsi="Times New Roman"/>
          <w:caps w:val="false"/>
          <w:smallCaps w:val="false"/>
          <w:sz w:val="20"/>
          <w:u w:val="single"/>
        </w:rPr>
        <w:t>Big Sky Industrial</w:t>
      </w:r>
      <w:r>
        <w:rPr>
          <w:rFonts w:ascii="Times New Roman" w:hAnsi="Times New Roman"/>
          <w:caps w:val="false"/>
          <w:smallCaps w:val="false"/>
          <w:sz w:val="20"/>
        </w:rPr>
        <w:t>” refer specifically to Big Sky Industrial Inc.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unless the context otherwise requires and for the purposes of this report only: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Bbl” refers to one stock tank barrel, or 42 U.S. gallons liquid volume, used in this report in reference to crude oil or other liquid hydrocarbons;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BOE” refers to barrels of oil equivalent, determined using the ratio of one Bbl of crude oil, condensate, or natural gas liquids, to six Mcf of natural gas;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Bopd” refers to barrels of oil per day;</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"Industrial gases" refers to helium, carbon dioxide, and hydrocarbons;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Mcf” refers to a thousand cubic feet of natural gas;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Mcfe” means 1,000 cubic feet equivalent, determined using the ratio of six Mcf of natural gas to one Bbl of crude oil, condensate or natural gas liquids;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"MMCF" refers to a million cubic feet of natural or industrial gasses;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"MMCF/d" refers to a million cubic feet of natural or industrial gasses;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NGL” refers to natural gas liquids;</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Exchange Act” refers to the Securities Exchange Act of 1934, as amended;</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SEC” or the “Commission” refers to the United States Securities and Exchange Commission;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785" w:type="dxa"/>
        <w:jc w:val="left"/>
        <w:tblInd w:w="0" w:type="dxa"/>
        <w:tblLayout w:type="fixed"/>
        <w:tblCellMar>
          <w:top w:w="0" w:type="dxa"/>
          <w:left w:w="0" w:type="dxa"/>
          <w:bottom w:w="0" w:type="dxa"/>
          <w:right w:w="0" w:type="dxa"/>
        </w:tblCellMar>
      </w:tblPr>
      <w:tblGrid>
        <w:gridCol w:w="170"/>
        <w:gridCol w:w="561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1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Securities Act” refers to the Securities Act of 1933, as amended; and</w:t>
            </w:r>
          </w:p>
        </w:tc>
      </w:tr>
      <w:tr>
        <w:trPr/>
        <w:tc>
          <w:tcPr>
            <w:tcW w:w="17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ind w:left="0" w:right="0" w:hanging="0"/>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1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caps w:val="false"/>
                <w:smallCaps w:val="false"/>
                <w:sz w:val="20"/>
              </w:rPr>
              <w:t>WTI” means West Texas Intermediate.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Where You Can Find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file annual, quarterly, and current reports, proxy statements and other information with the SEC. The SEC maintains an Internet site that contains reports, proxy and information statements, and other information regarding issuers that file electronically with the SEC like us at </w:t>
      </w:r>
      <w:r>
        <w:rPr>
          <w:rFonts w:ascii="Times New Roman" w:hAnsi="Times New Roman"/>
          <w:caps w:val="false"/>
          <w:smallCaps w:val="false"/>
          <w:sz w:val="20"/>
          <w:u w:val="single"/>
        </w:rPr>
        <w:t>https://www.sec.gov</w:t>
      </w:r>
      <w:r>
        <w:rPr>
          <w:rFonts w:ascii="Times New Roman" w:hAnsi="Times New Roman"/>
          <w:caps w:val="false"/>
          <w:smallCaps w:val="false"/>
          <w:sz w:val="20"/>
        </w:rPr>
        <w:t xml:space="preserve"> (our filings can be found at </w:t>
      </w:r>
      <w:r>
        <w:rPr>
          <w:rFonts w:ascii="Times New Roman" w:hAnsi="Times New Roman"/>
          <w:caps w:val="false"/>
          <w:smallCaps w:val="false"/>
          <w:sz w:val="20"/>
          <w:u w:val="single"/>
        </w:rPr>
        <w:t>https://www.sec.gov/cgi-bin/browse-edgar?action=getcompany&amp;CIK=0000101594</w:t>
      </w:r>
      <w:r>
        <w:rPr>
          <w:rFonts w:ascii="Times New Roman" w:hAnsi="Times New Roman"/>
          <w:caps w:val="false"/>
          <w:smallCaps w:val="false"/>
          <w:sz w:val="20"/>
        </w:rPr>
        <w:t>) and on the “</w:t>
      </w:r>
      <w:r>
        <w:rPr>
          <w:rFonts w:ascii="Times New Roman" w:hAnsi="Times New Roman"/>
          <w:caps w:val="false"/>
          <w:smallCaps w:val="false"/>
          <w:sz w:val="20"/>
          <w:u w:val="single"/>
        </w:rPr>
        <w:t>Investors – SEC Filings</w:t>
      </w:r>
      <w:r>
        <w:rPr>
          <w:rFonts w:ascii="Times New Roman" w:hAnsi="Times New Roman"/>
          <w:caps w:val="false"/>
          <w:smallCaps w:val="false"/>
          <w:sz w:val="20"/>
        </w:rPr>
        <w:t xml:space="preserve">” page of our website at </w:t>
      </w:r>
      <w:r>
        <w:rPr>
          <w:rFonts w:ascii="Times New Roman" w:hAnsi="Times New Roman"/>
          <w:caps w:val="false"/>
          <w:smallCaps w:val="false"/>
          <w:sz w:val="20"/>
          <w:u w:val="single"/>
        </w:rPr>
        <w:t>https://bigskyindustrialinc.com</w:t>
      </w:r>
      <w:r>
        <w:rPr>
          <w:rFonts w:ascii="Times New Roman" w:hAnsi="Times New Roman"/>
          <w:caps w:val="false"/>
          <w:smallCaps w:val="false"/>
          <w:sz w:val="20"/>
        </w:rPr>
        <w:t>. Copies of documents filed by us with the SEC are also available from us without charge, upon oral or written request to our Secretary, who can be contacted at the address and telephone number set forth on the cover page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Summary of The Information Contained in 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Management’s Discussion and Analysis of Financial Condition and Results of Operations (MD&amp;A) is provided in addition to the accompanying unaudited Condensed Consolidated Financial Statements and notes to assist readers in understanding our results of operations, financial condition, and cash flows. MD&amp;A is organized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General Overview</w:t>
            </w:r>
            <w:r>
              <w:rPr>
                <w:rFonts w:ascii="Times New Roman;Times;serif" w:hAnsi="Times New Roman;Times;serif"/>
                <w:caps w:val="false"/>
                <w:smallCaps w:val="false"/>
                <w:sz w:val="20"/>
              </w:rPr>
              <w:t>. A general overview of the Company and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Recent Developments</w:t>
            </w:r>
            <w:r>
              <w:rPr>
                <w:rFonts w:ascii="Times New Roman;Times;serif" w:hAnsi="Times New Roman;Times;serif"/>
                <w:caps w:val="false"/>
                <w:smallCaps w:val="false"/>
                <w:sz w:val="20"/>
              </w:rPr>
              <w:t>. Discussion of recent developments affecting the Company and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Plan of Operations and Strategy</w:t>
            </w:r>
            <w:r>
              <w:rPr>
                <w:rFonts w:ascii="Times New Roman;Times;serif" w:hAnsi="Times New Roman;Times;serif"/>
                <w:caps w:val="false"/>
                <w:smallCaps w:val="false"/>
                <w:sz w:val="20"/>
              </w:rPr>
              <w:t>. Discussion of our strategy moving forward and how we plan to seek to increase stockholder value.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Critical Accounting Policies and Estimates</w:t>
            </w:r>
            <w:r>
              <w:rPr>
                <w:rFonts w:ascii="Times New Roman;Times;serif" w:hAnsi="Times New Roman;Times;serif"/>
                <w:caps w:val="false"/>
                <w:smallCaps w:val="false"/>
                <w:sz w:val="20"/>
              </w:rPr>
              <w:t>. Accounting estimates that we believe are important to understanding the assumptions and judgments incorporated in our reported financial results and forecasts.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Results of Operations</w:t>
            </w:r>
            <w:r>
              <w:rPr>
                <w:rFonts w:ascii="Times New Roman;Times;serif" w:hAnsi="Times New Roman;Times;serif"/>
                <w:caps w:val="false"/>
                <w:smallCaps w:val="false"/>
                <w:sz w:val="20"/>
              </w:rPr>
              <w:t>. An analysis of our financial results comparing the three and six months ended June 30, 2026 and 2025.</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Liquidity and Capital Resources</w:t>
            </w:r>
            <w:r>
              <w:rPr>
                <w:rFonts w:ascii="Times New Roman;Times;serif" w:hAnsi="Times New Roman;Times;serif"/>
                <w:caps w:val="false"/>
                <w:smallCaps w:val="false"/>
                <w:sz w:val="20"/>
              </w:rPr>
              <w:t>. A discussion of our financial condition, including descriptions of balance sheet information and cash flows.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Big Sky Industrial Inc. (collectively with its wholly-owned subsidiaries are referred to as the “Company”) is incorporated in the State of Delaware. The Company’s principal business activities are focused on the acquisition, exploration, and development of industrial gases, oil and natural gas properties in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Final Investment Decision </w:t>
      </w:r>
      <w:r>
        <w:rPr>
          <w:rFonts w:ascii="Times New Roman" w:hAnsi="Times New Roman"/>
          <w:caps w:val="false"/>
          <w:smallCaps w:val="false"/>
          <w:sz w:val="20"/>
        </w:rPr>
        <w:t xml:space="preserve">– </w:t>
      </w:r>
      <w:r>
        <w:rPr>
          <w:rFonts w:ascii="Times New Roman" w:hAnsi="Times New Roman"/>
          <w:b/>
          <w:i/>
          <w:caps w:val="false"/>
          <w:smallCaps w:val="false"/>
          <w:sz w:val="20"/>
        </w:rPr>
        <w:t>Big Sky Carbon Hub</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of 2026, the Company reached a final investment decision (“FID”) for the construction of its processing facility at the Big Sky Carbon Hub ("Big Sky") in Montana and executed a fixed-scope engineering, procurement and construction agreement, initiating capital deployment for the project. The planned facility is designed with an initial inlet capacity up to 8.0 MMCF/d, targeting approximately 14.4 MMCF of annual helium production and 125,000 metric tons of refined CO₂ per year. The Company expects to commence gathering pipeline installation in spring 2026, with commissioning targeted for the third quarter of 2026 and initial gas processing and helium sales and carbon management operations anticipated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anticipation of reaching FID, during the six months ended June 30, 2026, the Company generated $17.2 million in proceeds from equity issuances.   Additionally, on April 17, 2026, the Company entered into an amendment to its Credit Facility with FirstBank Southwest that among other things, (i) increased the borrowing base from $10.0 million to $20.0 million, (ii) revised the applicable margin on outstanding borrowings to a fixed 2.00% per annum, and (iii) suspended testing of financial covenants through the fiscal quarter ending March 31, 2027. The Credit Facility maturity date remains May 31, 2029.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Helium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27, 2026, the Company executed a five-year helium sales agreement with an investment-grade global industrial gas company for the sale of contained helium to be produced at the Company’s Big Sky Carbon Hub in Montana. The Agreement provides for a 100% take-or-pay commitment by the counterparty for up to approximately 1.2 MMCF per month (14.4 MMCF annually) of helium production, with fixed pricing of $285 per MCF, which includes counterparty transport from the plant gate, subject to annual (consumer price index) CPI-based escalation beginning March 1, 2028, and includes a price redetermination mechanism in year three with a 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Plan of Operations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remainder of 2026 and beyond, we intend to pursue opportunities across the industrial gas sector, with a strategic emphasis on the next phase of development and monetization of our helium and carbon dioxide resources. While we plan to continue to operate oil and gas assets, our primary focus is on maximizing value from associated industrial gases. Our activities may include the acquisition of assets, participation with industry partners in development projects, acquisition of existing companies, and the purchase or development of industrial gas-related assets. Planned operations include construction of processing facilities, negotiating operating arrangements, finalizing gathering and infrastructure designs, and pursuing the use of a portion of produced CO₂ in tertiary recovery operations in our Montana oil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Key elements of our business strategy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Deploy our Capital in a Conservative and Strategic Manner and Review Opportunities to Bolster our Liquidity</w:t>
            </w:r>
            <w:r>
              <w:rPr>
                <w:rFonts w:ascii="Times New Roman;Times;serif" w:hAnsi="Times New Roman;Times;serif"/>
                <w:caps w:val="false"/>
                <w:smallCaps w:val="false"/>
                <w:sz w:val="20"/>
              </w:rPr>
              <w:t>. In the current industry environment, maintaining liquidity remains critical. We intend to be selective in evaluating projects, prioritizing those that enhance industrial gas value, and to review opportunities to strengthen our liquidity and financial position through disciplined capital allocation and other means.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i/>
                <w:caps w:val="false"/>
                <w:smallCaps w:val="false"/>
                <w:sz w:val="20"/>
              </w:rPr>
              <w:t>Evaluate and Pursue Value-Enhancing Transactions</w:t>
            </w:r>
            <w:r>
              <w:rPr>
                <w:rFonts w:ascii="Times New Roman;Times;serif" w:hAnsi="Times New Roman;Times;serif"/>
                <w:caps w:val="false"/>
                <w:smallCaps w:val="false"/>
                <w:sz w:val="20"/>
              </w:rPr>
              <w:t>. We plan to continuously evaluate strategic alternatives, including transactions that expand our industrial gas platform or optimize our oil and gas assets, with the objective of enhancing long-term stockholder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preparation of our unaudited Condensed Consolidated Financial Statements in conformity with generally accepted accounting principles in the United States (“GAAP”) requires us to make assumptions and estimates that affect the reported amounts of assets, liabilities, revenues and expenses, as well as the disclosure of contingent assets and liabilities at the date of our financial statements and the reported amounts of revenues and expenses during the reporting period. Actual results may differ from these estimates under different assumptions or conditions. A summary of our significant accounting policies is detailed in </w:t>
      </w:r>
      <w:r>
        <w:rPr>
          <w:rFonts w:ascii="Times New Roman" w:hAnsi="Times New Roman"/>
          <w:i/>
          <w:caps w:val="false"/>
          <w:smallCaps w:val="false"/>
          <w:sz w:val="20"/>
        </w:rPr>
        <w:t xml:space="preserve">Part II, Item 7 </w:t>
      </w:r>
      <w:r>
        <w:rPr>
          <w:rFonts w:ascii="Times New Roman" w:hAnsi="Times New Roman"/>
          <w:caps w:val="false"/>
          <w:smallCaps w:val="false"/>
          <w:sz w:val="20"/>
        </w:rPr>
        <w:t xml:space="preserve">–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w:t>
      </w:r>
      <w:r>
        <w:rPr>
          <w:rFonts w:ascii="Times New Roman" w:hAnsi="Times New Roman"/>
          <w:caps w:val="false"/>
          <w:smallCaps w:val="false"/>
          <w:sz w:val="20"/>
        </w:rPr>
        <w:t>of our 2025 Annual Report on Form 10-K filed with the SEC on March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Comparison of our Statements of Operations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we recorded a net loss of $2.3 million, which was primarily due to lower production resulting from divestitures in prior periods. In the following sections, we discuss our revenue, operating expenses, and other income (expense) for the three months ended June 30, 2026 compared to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 </w:t>
      </w:r>
      <w:r>
        <w:rPr>
          <w:rFonts w:ascii="Times New Roman" w:hAnsi="Times New Roman"/>
          <w:caps w:val="false"/>
          <w:smallCaps w:val="false"/>
          <w:sz w:val="20"/>
        </w:rPr>
        <w:t>Presented below is a comparison of our oil and natural gas sales, production quantities and average sales prices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883" w:type="dxa"/>
        <w:jc w:val="left"/>
        <w:tblInd w:w="0" w:type="dxa"/>
        <w:tblLayout w:type="fixed"/>
        <w:tblCellMar>
          <w:top w:w="0" w:type="dxa"/>
          <w:left w:w="0" w:type="dxa"/>
          <w:bottom w:w="0" w:type="dxa"/>
          <w:right w:w="0" w:type="dxa"/>
        </w:tblCellMar>
      </w:tblPr>
      <w:tblGrid>
        <w:gridCol w:w="2480"/>
        <w:gridCol w:w="60"/>
        <w:gridCol w:w="244"/>
        <w:gridCol w:w="1152"/>
        <w:gridCol w:w="117"/>
        <w:gridCol w:w="117"/>
        <w:gridCol w:w="244"/>
        <w:gridCol w:w="1152"/>
        <w:gridCol w:w="73"/>
        <w:gridCol w:w="73"/>
        <w:gridCol w:w="152"/>
        <w:gridCol w:w="793"/>
        <w:gridCol w:w="97"/>
        <w:gridCol w:w="73"/>
        <w:gridCol w:w="139"/>
        <w:gridCol w:w="672"/>
        <w:gridCol w:w="24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9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3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9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8"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average prices and production quantities)</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2,034</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2,134</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Production quantities: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(Bbls)</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26,166</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33,445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(7,279</w:t>
            </w:r>
          </w:p>
        </w:tc>
        <w:tc>
          <w:tcPr>
            <w:tcW w:w="9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45,486</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92,226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(46,740</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33,747</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48,816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(15,069</w:t>
            </w:r>
          </w:p>
        </w:tc>
        <w:tc>
          <w:tcPr>
            <w:tcW w:w="9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BOE/Day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Average sales prices: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(Bbls)</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77.73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22.59</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0.20</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BOE</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63.24</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21.70</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our oil and natural gas revenue of $0.1 million for the three months ended June 30, 2026, as compared to the three months ended June 30, 2025, was primarily due to a 41% increase in oil sales prices offset by a reduction in production volumes. For the three months ended June 30, 2026, we produced 33,747 BOE, or an average of 371 BOE per day, as compared to 48,816 BOE or an average of 536 BOE per day during the comparable period in 2025. The decrease in our production quantities primarily relates to the divestitures of our properties in Wyoming and West Texas and the natural decline in production in remaining producing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Oil and Natural Gas Production Costs</w:t>
      </w:r>
      <w:r>
        <w:rPr>
          <w:rFonts w:ascii="Times New Roman" w:hAnsi="Times New Roman"/>
          <w:caps w:val="false"/>
          <w:smallCaps w:val="false"/>
          <w:sz w:val="20"/>
        </w:rPr>
        <w:t>. Presented below is a comparison of our oil and natural gas production costs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2750"/>
        <w:gridCol w:w="60"/>
        <w:gridCol w:w="231"/>
        <w:gridCol w:w="897"/>
        <w:gridCol w:w="111"/>
        <w:gridCol w:w="111"/>
        <w:gridCol w:w="231"/>
        <w:gridCol w:w="897"/>
        <w:gridCol w:w="60"/>
        <w:gridCol w:w="60"/>
        <w:gridCol w:w="153"/>
        <w:gridCol w:w="542"/>
        <w:gridCol w:w="80"/>
        <w:gridCol w:w="60"/>
        <w:gridCol w:w="101"/>
        <w:gridCol w:w="564"/>
        <w:gridCol w:w="245"/>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8"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995</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taxes</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2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Exploration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w:t>
            </w:r>
          </w:p>
        </w:tc>
        <w:tc>
          <w:tcPr>
            <w:tcW w:w="111" w:type="dxa"/>
            <w:tcBorders/>
            <w:shd w:fill="CCEEFF" w:val="clear"/>
            <w:vAlign w:val="center"/>
          </w:tcPr>
          <w:p>
            <w:pPr>
              <w:pStyle w:val="TableContents"/>
              <w:bidi w:val="0"/>
              <w:spacing w:before="0" w:after="0"/>
              <w:ind w:left="0" w:right="0" w:hanging="0"/>
              <w:jc w:val="left"/>
              <w:rPr/>
            </w:pPr>
            <w:r>
              <w:rPr/>
              <w:t> </w:t>
            </w:r>
          </w:p>
        </w:tc>
        <w:tc>
          <w:tcPr>
            <w:tcW w:w="111"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w:t>
            </w:r>
          </w:p>
        </w:tc>
        <w:tc>
          <w:tcPr>
            <w:tcW w:w="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operating expense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29.48</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lease operating expenses were $1.0 million or $29.48 per BOE. While lease operating expenses decreased by $0.5 million when compared to $1.5 million or $31.14 per BOE for the three months ended June 30, 2025, the cost on a BOE basis decreased as the mix of properties changed as a result of the divestment of our Wyoming and West Texas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production taxes consistently remained between 6% and 8% of revenue. This increase in production taxes was attributable to the increase in revenue of 5% during the same period, as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Exploration expense increased </w:t>
      </w:r>
      <w:r>
        <w:rPr>
          <w:rFonts w:ascii="Times New Roman" w:hAnsi="Times New Roman"/>
          <w:caps w:val="false"/>
          <w:smallCaps w:val="false"/>
          <w:sz w:val="20"/>
        </w:rPr>
        <w:t>$70 thousand</w:t>
      </w:r>
      <w:r>
        <w:rPr>
          <w:rFonts w:ascii="Times New Roman" w:hAnsi="Times New Roman"/>
          <w:caps w:val="false"/>
          <w:smallCaps w:val="false"/>
          <w:sz w:val="20"/>
          <w:shd w:fill="FFFFFF" w:val="clear"/>
        </w:rPr>
        <w:t>, which was attributable to an increase in exploration activities for our industrial gas development, namely professional services supporting resource estimation and analysis and legal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Depletion and Amortization. </w:t>
      </w:r>
      <w:r>
        <w:rPr>
          <w:rFonts w:ascii="Times New Roman" w:hAnsi="Times New Roman"/>
          <w:caps w:val="false"/>
          <w:smallCaps w:val="false"/>
          <w:sz w:val="20"/>
        </w:rPr>
        <w:t>Our depreciation, depletion, and amortization (“DD&amp;A”) was $0.6 million and $1.1 million for the three months ended June 30, 2026 and 2025, respectively. Depletion expense on our oil and natural gas properties is the primary driver of DD&amp;A expense.  Our depletion rate was $11.83 per BOE and $10.94 per BOE for the three months ended June 30, 2026 and 2025, respectively. Our depletion rate can fluctuate modestly because of changes in drilling and completion costs, impairments, revisions in asset retirement obligation cost estimates or timing, divestitures, changes in the mix of our production, the underlying proved reserve volumes and estimated future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General and Administrative Expenses. </w:t>
      </w:r>
      <w:r>
        <w:rPr>
          <w:rFonts w:ascii="Times New Roman" w:hAnsi="Times New Roman"/>
          <w:caps w:val="false"/>
          <w:smallCaps w:val="false"/>
          <w:sz w:val="20"/>
        </w:rPr>
        <w:t>Presented below is a comparison of our general and administrative expenses for the three months ended June 30, 2026 and 2025:</w:t>
      </w:r>
    </w:p>
    <w:p>
      <w:pPr>
        <w:pStyle w:val="TextBody"/>
        <w:bidi w:val="0"/>
        <w:spacing w:before="0" w:after="0"/>
        <w:ind w:left="0" w:right="0" w:hanging="0"/>
        <w:jc w:val="left"/>
        <w:rPr/>
      </w:pPr>
      <w:r>
        <w:rPr/>
        <w:t> </w:t>
      </w:r>
    </w:p>
    <w:tbl>
      <w:tblPr>
        <w:tblW w:w="7843" w:type="dxa"/>
        <w:jc w:val="left"/>
        <w:tblInd w:w="0" w:type="dxa"/>
        <w:tblLayout w:type="fixed"/>
        <w:tblCellMar>
          <w:top w:w="0" w:type="dxa"/>
          <w:left w:w="0" w:type="dxa"/>
          <w:bottom w:w="0" w:type="dxa"/>
          <w:right w:w="0" w:type="dxa"/>
        </w:tblCellMar>
      </w:tblPr>
      <w:tblGrid>
        <w:gridCol w:w="3440"/>
        <w:gridCol w:w="60"/>
        <w:gridCol w:w="231"/>
        <w:gridCol w:w="897"/>
        <w:gridCol w:w="111"/>
        <w:gridCol w:w="111"/>
        <w:gridCol w:w="231"/>
        <w:gridCol w:w="897"/>
        <w:gridCol w:w="60"/>
        <w:gridCol w:w="60"/>
        <w:gridCol w:w="167"/>
        <w:gridCol w:w="528"/>
        <w:gridCol w:w="80"/>
        <w:gridCol w:w="60"/>
        <w:gridCol w:w="114"/>
        <w:gridCol w:w="551"/>
        <w:gridCol w:w="24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8"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845</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insurance and other</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2,647</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$0.4 million for the three months ended June 30, 2026 as compared to the prior year period. The increase was primarily attributable to discretionary employee compensation accrued in the current period but not in the prior period, equity-based compensation issued to consultants, and higher investor relations expense, partially offset by lower fees for accounting and tax professional services in the three months ended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Income (Expense).</w:t>
      </w:r>
      <w:r>
        <w:rPr>
          <w:rFonts w:ascii="Times New Roman" w:hAnsi="Times New Roman"/>
          <w:caps w:val="false"/>
          <w:smallCaps w:val="false"/>
          <w:sz w:val="20"/>
        </w:rPr>
        <w:t xml:space="preserve"> Presented below is a comparison of our other income (expense)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517" w:type="dxa"/>
        <w:jc w:val="left"/>
        <w:tblInd w:w="0" w:type="dxa"/>
        <w:tblLayout w:type="fixed"/>
        <w:tblCellMar>
          <w:top w:w="0" w:type="dxa"/>
          <w:left w:w="0" w:type="dxa"/>
          <w:bottom w:w="0" w:type="dxa"/>
          <w:right w:w="0" w:type="dxa"/>
        </w:tblCellMar>
      </w:tblPr>
      <w:tblGrid>
        <w:gridCol w:w="3095"/>
        <w:gridCol w:w="60"/>
        <w:gridCol w:w="292"/>
        <w:gridCol w:w="783"/>
        <w:gridCol w:w="187"/>
        <w:gridCol w:w="140"/>
        <w:gridCol w:w="292"/>
        <w:gridCol w:w="783"/>
        <w:gridCol w:w="80"/>
        <w:gridCol w:w="60"/>
        <w:gridCol w:w="167"/>
        <w:gridCol w:w="528"/>
        <w:gridCol w:w="80"/>
        <w:gridCol w:w="60"/>
        <w:gridCol w:w="87"/>
        <w:gridCol w:w="578"/>
        <w:gridCol w:w="245"/>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17"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derivative gain (loss), net</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w:t>
            </w:r>
          </w:p>
        </w:tc>
        <w:tc>
          <w:tcPr>
            <w:tcW w:w="18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2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0" w:type="dxa"/>
            <w:tcBorders/>
            <w:shd w:fill="CCEE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w:t>
            </w:r>
          </w:p>
        </w:tc>
        <w:tc>
          <w:tcPr>
            <w:tcW w:w="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8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primarily represents the interest and fees on our credit facility with FirstBank Southwest. Interest expense of $63 thousand dollars were capitalized as part of the industrial gas processing plant construction expenses during the three months ended June 30, 2026.  As of December 31, 2025 and June 30, 2026, we had $2.5 million and $4.5 million, respectively outstanding on our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Comparison of our Statements of Operations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recorded a net loss of $5.5 million, which was primarily due to lower production resulting from divestitures in prior periods. In the following sections, we discuss our revenue, operating expenses, and other income (expense) for the six months ended June 30, 2026 compared to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 </w:t>
      </w:r>
      <w:r>
        <w:rPr>
          <w:rFonts w:ascii="Times New Roman" w:hAnsi="Times New Roman"/>
          <w:caps w:val="false"/>
          <w:smallCaps w:val="false"/>
          <w:sz w:val="20"/>
        </w:rPr>
        <w:t>Presented below is a comparison of our oil and natural gas sales, production quantities and average sales prices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882" w:type="dxa"/>
        <w:jc w:val="left"/>
        <w:tblInd w:w="0" w:type="dxa"/>
        <w:tblLayout w:type="fixed"/>
        <w:tblCellMar>
          <w:top w:w="0" w:type="dxa"/>
          <w:left w:w="0" w:type="dxa"/>
          <w:bottom w:w="0" w:type="dxa"/>
          <w:right w:w="0" w:type="dxa"/>
        </w:tblCellMar>
      </w:tblPr>
      <w:tblGrid>
        <w:gridCol w:w="2480"/>
        <w:gridCol w:w="60"/>
        <w:gridCol w:w="206"/>
        <w:gridCol w:w="1145"/>
        <w:gridCol w:w="98"/>
        <w:gridCol w:w="98"/>
        <w:gridCol w:w="206"/>
        <w:gridCol w:w="1145"/>
        <w:gridCol w:w="77"/>
        <w:gridCol w:w="77"/>
        <w:gridCol w:w="162"/>
        <w:gridCol w:w="842"/>
        <w:gridCol w:w="103"/>
        <w:gridCol w:w="77"/>
        <w:gridCol w:w="147"/>
        <w:gridCol w:w="714"/>
        <w:gridCol w:w="24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0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9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average prices and production quantities)</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Production quantities: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(Bbls)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63,438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(15,430</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 (Mcfe)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120,174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194,316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(74,142</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68,037</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95,824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(27,787</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BOE/Day</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sales prices: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 (Bbls)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 (Mcfe)</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BOE</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our oil and natural gas revenue of $0.5 million for the six months ended June 30, 2026, as compared to the six months ended June 30, 2025, was primarily due to a decrease of 29% in production quantities offset primarily by increases in the oil sales price. For the six months ended June 30, 2026, we produced 68,037 BOE, or an average of 376 BOE per day, as compared to 95,824 BOE or an average of 529 BOE per day during the comparable period in 2025. The decrease in our production quantities primarily relates to the divestitures of our properties in Wyoming and West Texas and the natural decline in production in remaining producing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Oil and Natural Gas Production Costs</w:t>
      </w:r>
      <w:r>
        <w:rPr>
          <w:rFonts w:ascii="Times New Roman" w:hAnsi="Times New Roman"/>
          <w:caps w:val="false"/>
          <w:smallCaps w:val="false"/>
          <w:sz w:val="20"/>
        </w:rPr>
        <w:t>. Presented below is a comparison of our oil and natural gas production costs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6911" w:type="dxa"/>
        <w:jc w:val="left"/>
        <w:tblInd w:w="0" w:type="dxa"/>
        <w:tblLayout w:type="fixed"/>
        <w:tblCellMar>
          <w:top w:w="0" w:type="dxa"/>
          <w:left w:w="0" w:type="dxa"/>
          <w:bottom w:w="0" w:type="dxa"/>
          <w:right w:w="0" w:type="dxa"/>
        </w:tblCellMar>
      </w:tblPr>
      <w:tblGrid>
        <w:gridCol w:w="2750"/>
        <w:gridCol w:w="60"/>
        <w:gridCol w:w="208"/>
        <w:gridCol w:w="810"/>
        <w:gridCol w:w="100"/>
        <w:gridCol w:w="100"/>
        <w:gridCol w:w="208"/>
        <w:gridCol w:w="810"/>
        <w:gridCol w:w="60"/>
        <w:gridCol w:w="60"/>
        <w:gridCol w:w="129"/>
        <w:gridCol w:w="566"/>
        <w:gridCol w:w="80"/>
        <w:gridCol w:w="60"/>
        <w:gridCol w:w="101"/>
        <w:gridCol w:w="564"/>
        <w:gridCol w:w="245"/>
      </w:tblGrid>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 per BOE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lease operating expenses were $1.9 million or $28.01 per BOE. Lease operating expenses decreased by $1.2 million when compared to $3.2 million or $32.82 per BOE for the six months ended June 30, 2025, the cost on a BOE basis decreased as the mix of properties changed as a result of the divestment of our Wyoming and West Texas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production taxes consistently remain between 6% and 8% of revenue. This decrease in production taxes was attributable to the decrease in revenue of 11%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Exploration expense increased $171 thousand, which was attributable to an increase in exploration activities for our industrial gas development, namely professional services supporting resource estimation and analysis and legal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Depletion and Amortization. </w:t>
      </w:r>
      <w:r>
        <w:rPr>
          <w:rFonts w:ascii="Times New Roman" w:hAnsi="Times New Roman"/>
          <w:caps w:val="false"/>
          <w:smallCaps w:val="false"/>
          <w:sz w:val="20"/>
        </w:rPr>
        <w:t>Our depreciation, depletion, and amortization (“DD&amp;A”) was $1.2 million and $2.2 million for the six months ended June 30, 2026 and 2025, respectively. Depletion expense on our oil and natural gas properties is the primary driver of DD&amp;A expense. Our depletion rate was $11.38 per BOE and $14.67 per BOE for the six months ended June 30, 2026 and 2025, respectively. Our depletion rate can fluctuate modestly because of changes in drilling and completion costs, impairments, revisions in asset retirement obligation cost estimates or timing, divestitures, changes in the mix of our production, the underlying proved reserve volumes and estimated future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General and Administrative Expenses. </w:t>
      </w:r>
      <w:r>
        <w:rPr>
          <w:rFonts w:ascii="Times New Roman" w:hAnsi="Times New Roman"/>
          <w:caps w:val="false"/>
          <w:smallCaps w:val="false"/>
          <w:sz w:val="20"/>
        </w:rPr>
        <w:t>Presented below is a comparison of our general and administrative expenses for the six months ended June 30, 2026 and 2025:</w:t>
      </w:r>
    </w:p>
    <w:p>
      <w:pPr>
        <w:pStyle w:val="TextBody"/>
        <w:bidi w:val="0"/>
        <w:spacing w:before="0" w:after="0"/>
        <w:ind w:left="0" w:right="0" w:hanging="0"/>
        <w:jc w:val="left"/>
        <w:rPr/>
      </w:pPr>
      <w:r>
        <w:rPr/>
        <w:t> </w:t>
      </w:r>
    </w:p>
    <w:tbl>
      <w:tblPr>
        <w:tblW w:w="7601" w:type="dxa"/>
        <w:jc w:val="left"/>
        <w:tblInd w:w="0" w:type="dxa"/>
        <w:tblLayout w:type="fixed"/>
        <w:tblCellMar>
          <w:top w:w="0" w:type="dxa"/>
          <w:left w:w="0" w:type="dxa"/>
          <w:bottom w:w="0" w:type="dxa"/>
          <w:right w:w="0" w:type="dxa"/>
        </w:tblCellMar>
      </w:tblPr>
      <w:tblGrid>
        <w:gridCol w:w="3440"/>
        <w:gridCol w:w="60"/>
        <w:gridCol w:w="208"/>
        <w:gridCol w:w="810"/>
        <w:gridCol w:w="100"/>
        <w:gridCol w:w="100"/>
        <w:gridCol w:w="208"/>
        <w:gridCol w:w="810"/>
        <w:gridCol w:w="60"/>
        <w:gridCol w:w="60"/>
        <w:gridCol w:w="142"/>
        <w:gridCol w:w="553"/>
        <w:gridCol w:w="80"/>
        <w:gridCol w:w="60"/>
        <w:gridCol w:w="114"/>
        <w:gridCol w:w="551"/>
        <w:gridCol w:w="24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and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2,530</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8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5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insurance and other</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8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5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by $1.1 million for the six months ended June 30, 2026 as compared to the prior year period. The increase was primarily attributable to the timing of discretionary compensation, which occurred during the three months ended March 31, 2026. Professional fees decreased primarily due to a reduction in acquisition-related costs relative to the activity in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Income (Expense).</w:t>
      </w:r>
      <w:r>
        <w:rPr>
          <w:rFonts w:ascii="Times New Roman" w:hAnsi="Times New Roman"/>
          <w:caps w:val="false"/>
          <w:smallCaps w:val="false"/>
          <w:sz w:val="20"/>
        </w:rPr>
        <w:t xml:space="preserve"> Presented below is a comparison of our other income (expense)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217" w:type="dxa"/>
        <w:jc w:val="left"/>
        <w:tblInd w:w="0" w:type="dxa"/>
        <w:tblLayout w:type="fixed"/>
        <w:tblCellMar>
          <w:top w:w="0" w:type="dxa"/>
          <w:left w:w="0" w:type="dxa"/>
          <w:bottom w:w="0" w:type="dxa"/>
          <w:right w:w="0" w:type="dxa"/>
        </w:tblCellMar>
      </w:tblPr>
      <w:tblGrid>
        <w:gridCol w:w="3095"/>
        <w:gridCol w:w="60"/>
        <w:gridCol w:w="264"/>
        <w:gridCol w:w="707"/>
        <w:gridCol w:w="169"/>
        <w:gridCol w:w="126"/>
        <w:gridCol w:w="264"/>
        <w:gridCol w:w="707"/>
        <w:gridCol w:w="80"/>
        <w:gridCol w:w="60"/>
        <w:gridCol w:w="167"/>
        <w:gridCol w:w="528"/>
        <w:gridCol w:w="80"/>
        <w:gridCol w:w="60"/>
        <w:gridCol w:w="101"/>
        <w:gridCol w:w="564"/>
        <w:gridCol w:w="185"/>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w:t>
            </w:r>
          </w:p>
        </w:tc>
        <w:tc>
          <w:tcPr>
            <w:tcW w:w="185"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7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18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gain (loss), net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1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6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primarily represents the interest and fees on our credit facility with FirstBank Southwest. Interest expense of $63 thousand dollars were capitalized as part of the industrial gas processing plant construction expenses during the three months ended June 30, 2026. As of December 31, 2025 and June 30, 2026, we had $2.5 million and $4.5 million, respectively outstanding on our credit facility. For the six months ended June 30, 2026, interest expense included interest incurred on the outstanding loan and fees to maintain our credit facility. For the six months ended June 30, 2025, we had no amounts outstanding under the credit facility and our interest expense comprised of fees to maintain our credit facility.</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current commodity price environment and our existing working capital, we believe we have sufficient liquidity and capital resources to execute our business plan and meet our current financial obligations. As of June 30, 2026, the Company was in compliance with all financial covenants under its credit facility. We continue to actively manage our capital commitments to maintain flexibility with respect to the timing and level of our development activities and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remainder of 2026, the Company’s capital program is designed to advance the Big Sky project toward initial commercial operations targeted for the first quarter of 2027. We anticipate the remaining aggregate, near-term capital program to range between $20.0 million and $25.0 million, primarily related to the construction of our gas processing plant, production gathering system, and related infrastructure at our industrial gas development project. In addition, we may incur up to approximately $0.5 million for plugging and abandonment activities, depending on regulatory requirements, timing, and weather conditions. We expect these expenditures to be funded through a combination of cash on hand, operating cash flows, proceeds from the divestiture of oil and natural gas properties, borrowings under our credit facility, additional equity issuances, and potential project-specific financing, including equity and debt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Sources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funded our capital expenditures primarily through cash on hand, proceeds from equity issuances, and draws on our credit facility. During the period, we generated approximately $17.2 million from equity sales, issuances and had cash and cash equivalents of approximately $5.9 million, and $15.5 million available under our credit facility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17, 2026, the Company entered into an amendment to its credit facility with FirstBank Southwest, which, among other things, increased the borrowing base from $10.0 million to $20.0 million, revised the applicable margin on outstanding borrowings to a fixed 2.00% per annum, and suspended testing of financial covenants through the fiscal quarter ending March 31, 2027. The maturity date of the credit facility remains May 31, 2029. The increased borrowing base provides us access to an additional $15.5 million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future periods, if cash flows from operations are insufficient to fund capital expenditures and operating requirements, we may seek additional financing through public or private equity or debt offerings or other financing arrangements. We may also adjust the timing and scope of our capital program based on market conditions and capital availability. Our ability to access capital is subject to prevailing economic conditions, including changes in commodity prices, interest rates, capital markets, regulatory requirements, and other factors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Uses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cash primarily for the development of our industrial gas assets, including construction of processing and gathering infrastructure, as well as for operating expenses, general and administrative costs, and debt service obligations. During the six months ended June 30, 2026, we spent approximately $9.6 million on the acquisition and development of industrial gas properties and expect to continue allocating capital to the Big Sky project for the remainder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5742" w:type="dxa"/>
        <w:jc w:val="left"/>
        <w:tblInd w:w="0" w:type="dxa"/>
        <w:tblLayout w:type="fixed"/>
        <w:tblCellMar>
          <w:top w:w="0" w:type="dxa"/>
          <w:left w:w="0" w:type="dxa"/>
          <w:bottom w:w="0" w:type="dxa"/>
          <w:right w:w="0" w:type="dxa"/>
        </w:tblCellMar>
      </w:tblPr>
      <w:tblGrid>
        <w:gridCol w:w="2555"/>
        <w:gridCol w:w="60"/>
        <w:gridCol w:w="176"/>
        <w:gridCol w:w="918"/>
        <w:gridCol w:w="113"/>
        <w:gridCol w:w="84"/>
        <w:gridCol w:w="176"/>
        <w:gridCol w:w="770"/>
        <w:gridCol w:w="80"/>
        <w:gridCol w:w="60"/>
        <w:gridCol w:w="125"/>
        <w:gridCol w:w="545"/>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9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(3,252</w:t>
            </w:r>
          </w:p>
        </w:tc>
        <w:tc>
          <w:tcPr>
            <w:tcW w:w="1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2,874</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(10,094</w:t>
            </w:r>
          </w:p>
        </w:tc>
        <w:tc>
          <w:tcPr>
            <w:tcW w:w="11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18,905</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9,264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xml:space="preserve"> Cash used in operating activities of $3.3 million for the six months ended June 30, 2026 was mainly due to a $5.5 million net loss and a reduction of working capital</w:t>
      </w:r>
      <w:r>
        <w:rPr>
          <w:rFonts w:ascii="Times New Roman" w:hAnsi="Times New Roman"/>
          <w:caps w:val="false"/>
          <w:smallCaps w:val="false"/>
          <w:sz w:val="20"/>
          <w:shd w:fill="FFFFFF" w:val="clear"/>
        </w:rPr>
        <w:t xml:space="preserve"> of $0.2 million offset by </w:t>
      </w:r>
      <w:r>
        <w:rPr>
          <w:rFonts w:ascii="Times New Roman" w:hAnsi="Times New Roman"/>
          <w:caps w:val="false"/>
          <w:smallCaps w:val="false"/>
          <w:sz w:val="20"/>
        </w:rPr>
        <w:t>$1.2 million</w:t>
      </w:r>
      <w:r>
        <w:rPr>
          <w:rFonts w:ascii="Times New Roman" w:hAnsi="Times New Roman"/>
          <w:caps w:val="false"/>
          <w:smallCaps w:val="false"/>
          <w:sz w:val="20"/>
          <w:shd w:fill="FFFFFF" w:val="clear"/>
        </w:rPr>
        <w:t> of depreciation, depletion, accretion.</w:t>
      </w:r>
      <w:r>
        <w:rPr>
          <w:rFonts w:ascii="Times New Roman" w:hAnsi="Times New Roman"/>
          <w:caps w:val="false"/>
          <w:smallCaps w:val="false"/>
          <w:sz w:val="20"/>
        </w:rPr>
        <w:t> Cash used by operating activities of $6.1 million for the six months ended June 30, 2025, was mainly due to a net loss of $9.2 million and a reduction of payables of $3.8 million offset by $2.2 million of depreciation, depletion, accretion,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xml:space="preserve"> Cash used in investing activities for the six months ended June 30, 2026 was $10.1 million as compared to cash used in investing activities of $4.5 million for the comparable period in 2025. The primary use of cash in our investing activities for the six months ended June 30, 2026 was attributable to initial plant construction costs. For the six months ended June 30, 2025, the cash investment was primarily attributed to the Synergy acquisition discussed in </w:t>
      </w:r>
      <w:r>
        <w:rPr>
          <w:rFonts w:ascii="Times New Roman" w:hAnsi="Times New Roman"/>
          <w:i/>
          <w:caps w:val="false"/>
          <w:smallCaps w:val="false"/>
          <w:sz w:val="20"/>
        </w:rPr>
        <w:t>Note 2 - Acquisitions and Divestitures.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xml:space="preserve"> Cash provided by financing activities for the six months ended June 30, 2026 was $18.9 million as compared to $9.6 million for the comparable period in 2025. The primary drivers of this cash inflow were equity sales of $17.2 million during the six months ended June 30, 2026, compared to $11.9 million in the prior period, which in the prior period were reduced by a related party share repurchase of $1.6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quant"/>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Item 305(e) of Regulation S-K (§ 229.305(e)), the Company is not required to provide the information required by this Item as it is a “smaller reporting company,” as defined by Rule 229.10(f)(1).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3" w:name="control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Conclusion Regarding the Effectiveness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required to maintain disclosure controls and procedures (as defined by Rules 13a-15(e) and 15d-15(e) under the Exchange Act) designed to ensure that information required to be disclosed by the Company in reports filed or submitted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management, including the Company’s Chief Executive Officer and Chief Financial Officer, evaluated the effectiveness of the design and operation of the Company’s disclosure controls and procedures (as defined in Rules 13a-15(e) and 15d-15(e) under the Exchange Act). Based on this evaluation, the Chief Executive Officer and Chief Financial Officer concluded that the Company’s disclosure controls and procedures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disclosure controls and procedures, management recognizes that any controls and procedures, no matter how well designed and operated, can provide only reasonable assurance of achieving their objectives. In addition, the design of disclosure controls and procedures must reflect that resource constraints exist and that management is required to apply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during the six months ended June 30, 2026, that have materially affected, or are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4" w:name="parttwootherinfo"/>
      <w:bookmarkEnd w:id="14"/>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become party to litigation or other legal proceedings that we consider to be a part of the ordinary course of our business. We are not currently involved in any legal proceedings that we believe could reasonably be expected to have a material adverse effect on our business, prospects, financial condition or results of operations. We may become involved in material legal proceedings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factors"/>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as noted below, there have been no material changes from the risk factors previously disclosed in the Company’s Annual Report on Form 10-K for the year ended December 31, 2025, as filed with the SEC on March 13, 2026, under the heading “Item 1A. Risk Factors”, except as set forth below, and investors should review the risks provided in the Annual Report and below, prior to making an investment in the Company. The business, financial condition and operating results of the Company can be affected by a number of factors, whether currently known or unknown, including but not limited to those described in the Annual Report and below, any one or more of which could, directly or indirectly, cause the Company’s actual financial condition and operating results to vary materially from past, or from anticipated future, financial condition and operating results. Any of these factors, in whole or in part, could materially and adversely affect the Company’s business, financial condition, operating results and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Geopolitical Conflict and Disruptions to Global Energy Markets, Including Risks Associated with the Strait of Hormuz, May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Ongoing geopolitical conflict involving Iran and other countries in the Middle East has created significant volatility and uncertainty in global energy markets. The Strait of Hormuz, a critical transit chokepoint through which approximately 20% of the world’s oil supply and a significant portion of liquefied natural gas flows, has experienced material disruption, including reduced vessel traffic, military activity, and heightened 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our operations are domestic, our business is indirectly exposed to global energy market conditions. Disruptions to supply, transportation constraints, or perceived risks of interruption in the Strait of Hormuz or surrounding regions may result in significant commodity price volatility, including rapid increases or decreases in oil and natural gas prices, as well as dislocations in supply chains and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military escalation or collateral damage affecting energy infrastructure, shipping routes, or regional production facilities in the Middle East may further exacerbate global supply shortages, increase input and operating costs, and contribute to broader macroeconomic instability, including inflationary pressures or recessionary conditions. These conditions may adversely impact demand for our products and services, disrupt capital markets, and impair our ability to access financing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ongoing development of a domestic industrial gas project, including the production and commercialization of helium and other gases, may also be adversely affected by such geopolitical events. Supply chain disruptions, equipment procurement delays, cost inflation, or volatility in industrial gas pricing could delay project timelines, increase capital expenditures, or reduce expected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Furthermore, geopolitical instability may result in heightened regulatory scrutiny, trade restrictions, sanctions, or changes in U.S. energy policy, any of which could adversely affect our operations, counterparties, or strategic initiatives. The extent and duration of these risks remain uncertain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Associated with our Helium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entered into a five-year helium sales agreement with an investment-grade counterparty that commits substantially all future helium production from our planned Big Sky project at a largely fixed price. While the agreement provides revenue visibility and supports project financing, it limits our ability to benefit from higher helium prices, may expose us to margin compression if production or inflation-related costs exceed the contract price, and restricts our flexibility to sell to alternative buyers on more favorable terms. The agreement also exposes us to counterparty, operational, commencement, and future price redetermination risks. As a result, the agreement could constrain our upside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Construction and EPC Execution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ability to successfully develop its gas processing facility depends on the timely and cost-effective execution of its engineering, procurement and construction (“EPC”) agreement and the completion of both offsite fabrication and onsite construction activities. These efforts are subject to a variety of risks, including potential delays in engineering design, procurement of critical equipment, module fabrication, transportation logistics, site preparation, and field construction. The Company may also encounter cost overruns due to labor shortages, inflationary pressures, contractor performance issues, supply chain disruptions, adverse weather conditions, or unforeseen site or subsurface conditions. In addition, integration risks between offsite fabricated components and onsite installation could result in rework, inefficiencies, or commissioning delays. Any such delays or cost increases could materially impact the project schedule, capital expenditures, and expected timing of initial operations, which in turn could have a material adverse effect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Future changes to U.S. tax laws and regulations, including potential changes to carbon capture incentives, could adversely affect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legislative and regulatory proposals are introduced that could significantly affect the U.S. tax treatment of companies engaged in industrial gas, oil and natural gas exploration, development, and production. These proposals have included, among other items, the elimination of the immediate deduction for intangible drilling and development costs, the repeal of the percentage depletion allowance for oil and gas properties, changes to the treatment of certain domestic production activities, and the extension of amortization periods for geological and geophysical expenditures. The enactment of any such changes, or other similar measures that reduce or eliminate tax benefits currently available to our industry, could increase our tax burden, reduce cash flows, and adversely impact the economics of our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our business strategy includes the development of carbon management initiatives that may be eligible for federal tax incentives, including credits available under Section 45Q of the Internal Revenue Code for the capture and sequestration or utilization of carbon dioxide. The availability, value, and timing of benefits under Section 45Q depend on a number of factors, including final regulatory guidance, compliance with detailed technical and operational requirements, verification and reporting obligations, and our ability to place qualifying facilities in service and operate them in accordance with applicable standards. Legislative, regulatory, or administrative changes could reduce, delay, or eliminate the availability of these credits, including changes to eligibility thresholds, credit amounts, transferability provisions, or recapture rules. In addition, failure to satisfy applicable requirements or to sustain qualifying operations over the required period could result in the loss or recapture of previously claimed credits. Any of these developments could have a material adverse effect on our business,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sales of unregistered securities during the quarter ended June 30, 2026 which have not previously been reported in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share repurchase activity for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7371" w:type="dxa"/>
        <w:jc w:val="left"/>
        <w:tblInd w:w="0" w:type="dxa"/>
        <w:tblLayout w:type="fixed"/>
        <w:tblCellMar>
          <w:top w:w="0" w:type="dxa"/>
          <w:left w:w="0" w:type="dxa"/>
          <w:bottom w:w="0" w:type="dxa"/>
          <w:right w:w="0" w:type="dxa"/>
        </w:tblCellMar>
      </w:tblPr>
      <w:tblGrid>
        <w:gridCol w:w="1880"/>
        <w:gridCol w:w="60"/>
        <w:gridCol w:w="228"/>
        <w:gridCol w:w="991"/>
        <w:gridCol w:w="60"/>
        <w:gridCol w:w="60"/>
        <w:gridCol w:w="405"/>
        <w:gridCol w:w="844"/>
        <w:gridCol w:w="60"/>
        <w:gridCol w:w="60"/>
        <w:gridCol w:w="228"/>
        <w:gridCol w:w="991"/>
        <w:gridCol w:w="60"/>
        <w:gridCol w:w="60"/>
        <w:gridCol w:w="170"/>
        <w:gridCol w:w="1154"/>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Approximate</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 Value of</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 as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that</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Yet Be</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Publicly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Number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Announced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 the</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Paid Per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 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Plans or</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Programs</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 April 30, 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3,514,370</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1 - May 31, 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3,514,370</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1 - June 30, 2026</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3,514,370</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3,514,370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Company’s share repurchase program has expired. The Board of Directors may reauthorize and extend the share repurchase program at their discretion.</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9" w:name="mine"/>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both"/>
        <w:rPr/>
      </w:pPr>
      <w:bookmarkStart w:id="20" w:name="otherinfo"/>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(c) Rule </w:t>
      </w:r>
      <w:r>
        <w:rPr>
          <w:rStyle w:val="Emphasis"/>
          <w:rFonts w:ascii="Times New Roman" w:hAnsi="Times New Roman"/>
          <w:i/>
          <w:caps w:val="false"/>
          <w:smallCaps w:val="false"/>
          <w:sz w:val="20"/>
        </w:rPr>
        <w:t>10b5</w:t>
      </w:r>
      <w:r>
        <w:rPr>
          <w:rFonts w:ascii="Times New Roman" w:hAnsi="Times New Roman"/>
          <w:i/>
          <w:caps w:val="false"/>
          <w:smallCaps w:val="false"/>
          <w:sz w:val="20"/>
        </w:rPr>
        <w:t>-</w:t>
      </w:r>
      <w:r>
        <w:rPr>
          <w:rStyle w:val="Emphasis"/>
          <w:rFonts w:ascii="Times New Roman" w:hAnsi="Times New Roman"/>
          <w:i/>
          <w:caps w:val="false"/>
          <w:smallCaps w:val="false"/>
          <w:sz w:val="20"/>
        </w:rPr>
        <w:t>1</w:t>
      </w:r>
      <w:r>
        <w:rPr>
          <w:rFonts w:ascii="Times New Roman" w:hAnsi="Times New Roman"/>
          <w:i/>
          <w:caps w:val="false"/>
          <w:smallCaps w:val="false"/>
          <w:sz w:val="20"/>
        </w:rPr>
        <w:t> Trading Plans.</w:t>
      </w:r>
      <w:r>
        <w:rPr>
          <w:rFonts w:ascii="Times New Roman" w:hAnsi="Times New Roman"/>
          <w:caps w:val="false"/>
          <w:smallCaps w:val="false"/>
          <w:sz w:val="20"/>
        </w:rPr>
        <w:t xml:space="preserve"> Our directors and executive officers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enter into plans or other arrangements for the purchase or sale of our shares that are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represent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under the Exchange Act. During the quarter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the Company’s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adopted or terminated any contract, instruction or written plan for the purchase or sale of Company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5523"/>
        <w:gridCol w:w="60"/>
        <w:gridCol w:w="500"/>
        <w:gridCol w:w="60"/>
        <w:gridCol w:w="719"/>
        <w:gridCol w:w="60"/>
        <w:gridCol w:w="650"/>
        <w:gridCol w:w="60"/>
        <w:gridCol w:w="660"/>
        <w:gridCol w:w="60"/>
        <w:gridCol w:w="1068"/>
      </w:tblGrid>
      <w:tr>
        <w:trPr/>
        <w:tc>
          <w:tcPr>
            <w:tcW w:w="7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52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tcMar>
              <w:bottom w:w="0" w:type="dxa"/>
            </w:tcMar>
            <w:vAlign w:val="center"/>
          </w:tcPr>
          <w:p>
            <w:pPr>
              <w:pStyle w:val="TableContents"/>
              <w:bidi w:val="0"/>
              <w:spacing w:before="0" w:after="283"/>
              <w:jc w:val="left"/>
              <w:rPr/>
            </w:pPr>
            <w:r>
              <w:rPr/>
              <w:t> </w:t>
            </w:r>
          </w:p>
        </w:tc>
        <w:tc>
          <w:tcPr>
            <w:tcW w:w="71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No.</w:t>
            </w:r>
          </w:p>
        </w:tc>
        <w:tc>
          <w:tcPr>
            <w:tcW w:w="60" w:type="dxa"/>
            <w:tcBorders/>
            <w:tcMar>
              <w:bottom w:w="0" w:type="dxa"/>
            </w:tcMar>
            <w:vAlign w:val="center"/>
          </w:tcPr>
          <w:p>
            <w:pPr>
              <w:pStyle w:val="TableContents"/>
              <w:bidi w:val="0"/>
              <w:spacing w:before="0" w:after="283"/>
              <w:jc w:val="left"/>
              <w:rPr/>
            </w:pPr>
            <w:r>
              <w:rPr/>
              <w:t> </w:t>
            </w:r>
          </w:p>
        </w:tc>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tcMar>
              <w:bottom w:w="0" w:type="dxa"/>
            </w:tcMar>
            <w:vAlign w:val="center"/>
          </w:tcPr>
          <w:p>
            <w:pPr>
              <w:pStyle w:val="TableContents"/>
              <w:bidi w:val="0"/>
              <w:spacing w:before="0" w:after="283"/>
              <w:jc w:val="left"/>
              <w:rPr/>
            </w:pPr>
            <w:r>
              <w:rPr/>
              <w:t> </w:t>
            </w:r>
          </w:p>
        </w:tc>
        <w:tc>
          <w:tcPr>
            <w:tcW w:w="6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tcMar>
              <w:bottom w:w="0" w:type="dxa"/>
            </w:tcMar>
            <w:vAlign w:val="center"/>
          </w:tcPr>
          <w:p>
            <w:pPr>
              <w:pStyle w:val="TableContents"/>
              <w:bidi w:val="0"/>
              <w:spacing w:before="0" w:after="283"/>
              <w:jc w:val="left"/>
              <w:rPr/>
            </w:pPr>
            <w:r>
              <w:rPr/>
              <w:t> </w:t>
            </w:r>
          </w:p>
        </w:tc>
        <w:tc>
          <w:tcPr>
            <w:tcW w:w="1068"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Filed / </w:t>
            </w:r>
            <w:r>
              <w:rPr>
                <w:rFonts w:ascii="Times New Roman" w:hAnsi="Times New Roman"/>
                <w:caps w:val="false"/>
                <w:smallCaps w:val="false"/>
                <w:sz w:val="20"/>
              </w:rPr>
              <w:br/>
            </w:r>
            <w:r>
              <w:rPr>
                <w:rFonts w:ascii="Times New Roman" w:hAnsi="Times New Roman"/>
                <w:b/>
                <w:caps w:val="false"/>
                <w:smallCaps w:val="false"/>
                <w:sz w:val="20"/>
              </w:rPr>
              <w:t>Furnished Herewith</w:t>
            </w:r>
          </w:p>
        </w:tc>
      </w:tr>
      <w:tr>
        <w:trPr/>
        <w:tc>
          <w:tcPr>
            <w:tcW w:w="725" w:type="dxa"/>
            <w:tcBorders/>
            <w:tcMar>
              <w:bottom w:w="0" w:type="dxa"/>
            </w:tcMar>
            <w:vAlign w:val="center"/>
          </w:tcPr>
          <w:p>
            <w:pPr>
              <w:pStyle w:val="TableContents"/>
              <w:bidi w:val="0"/>
              <w:spacing w:before="0" w:after="283"/>
              <w:jc w:val="left"/>
              <w:rPr/>
            </w:pPr>
            <w:r>
              <w:rPr/>
              <w:t>3.1</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3">
              <w:r>
                <w:rPr>
                  <w:rStyle w:val="InternetLink"/>
                </w:rPr>
                <w:t>Certificate of Amendment to the Certificate of Incorporation of U.S. Energy Corp. as filed with the Secretary of State of Delaware on June 3, 2026, and effective on June 8, 2026</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3.1</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06/04/2026</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3.2</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4">
              <w:r>
                <w:rPr>
                  <w:rStyle w:val="InternetLink"/>
                </w:rPr>
                <w:t>Amended and Restated Bylaws of Big Sky Industrial Inc. effective June 8, 2026 </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3.2</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06/04/2026</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5">
              <w:r>
                <w:rPr>
                  <w:rStyle w:val="InternetLink"/>
                </w:rPr>
                <w:t>Credit Agreement dated as of January 5, 2022, among U.S. Energy Corp., as borrower, Firstbank Southwest, as Administrative Agent and the Lenders party thereto</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10.6</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01/01/2022</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6">
              <w:r>
                <w:rPr>
                  <w:rStyle w:val="InternetLink"/>
                  <w:u w:val="single"/>
                </w:rPr>
                <w:t>First Amendment to Credit Agreement and Limited Waiver dated September 16, 2025, among U.S. Energy Corp., as borrower, Firstbank Southwest, as Administrative Agent and the Lenders party thereto</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09/19/2025</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283"/>
              <w:jc w:val="left"/>
              <w:rPr/>
            </w:pPr>
            <w:hyperlink r:id="rId7">
              <w:r>
                <w:rPr>
                  <w:rStyle w:val="InternetLink"/>
                </w:rPr>
                <w:t>Second Amendment to Credit Agreement dated April 17, 2026, among U.S. Energy Corp., as borrower, Firstbank Southwest, as Administrative Agent and the Lenders party thereto</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8-K</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000-06814</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04/20/2026</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976751.htm">
              <w:r>
                <w:rPr>
                  <w:rStyle w:val="InternetLink"/>
                  <w:rFonts w:ascii="Times New Roman" w:hAnsi="Times New Roman"/>
                  <w:caps w:val="false"/>
                  <w:smallCaps w:val="false"/>
                  <w:sz w:val="20"/>
                </w:rPr>
                <w:t>Certification of Chief Executive Officer pursuant to Section 302 of the Sarbanes – Oxley Act of 2002</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976752.htm">
              <w:r>
                <w:rPr>
                  <w:rStyle w:val="InternetLink"/>
                  <w:rFonts w:ascii="Times New Roman" w:hAnsi="Times New Roman"/>
                  <w:caps w:val="false"/>
                  <w:smallCaps w:val="false"/>
                  <w:sz w:val="20"/>
                </w:rPr>
                <w:t>Certification of Chief Financial Officer pursuant to Section 302 of the Sarbanes – Oxley Act of 2002</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976753.htm">
              <w:r>
                <w:rPr>
                  <w:rStyle w:val="InternetLink"/>
                  <w:rFonts w:ascii="Times New Roman" w:hAnsi="Times New Roman"/>
                  <w:caps w:val="false"/>
                  <w:smallCaps w:val="false"/>
                  <w:sz w:val="20"/>
                </w:rPr>
                <w:t>Certification of Chief Executive Officer under Rule 13a-14(b)</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pPr>
            <w:hyperlink w:anchor="ex_976754.htm">
              <w:r>
                <w:rPr>
                  <w:rStyle w:val="InternetLink"/>
                  <w:rFonts w:ascii="Times New Roman" w:hAnsi="Times New Roman"/>
                  <w:caps w:val="false"/>
                  <w:smallCaps w:val="false"/>
                  <w:sz w:val="20"/>
                </w:rPr>
                <w:t>Certification of Chief Financial Officer under Rule 13a-14(b)</w:t>
              </w:r>
            </w:hyperlink>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Schema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Calculation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Definition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Label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7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552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for the cover page of this Quarterly Report on Form 10-Q, included in the Exhibit 101 Inline XBRL Document Set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8"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exhibits have been omitted pursuant to Item 601(b)(5) of Regulation S-K. A copy of any omitted schedule or exhibit will be furnished supplementally to the Securities and Exchange Commission upon request; provided, however, that Big Sky Industrial Inc. may request confidential treatment pursuant to Rule 24b-2 of the Securities Exchange Act of 1934, as amended, for any schedule or exhibit so furnished.</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s"/>
      <w:bookmarkEnd w:id="22"/>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800" w:type="dxa"/>
        <w:jc w:val="left"/>
        <w:tblInd w:w="0" w:type="dxa"/>
        <w:tblLayout w:type="fixed"/>
        <w:tblCellMar>
          <w:top w:w="0" w:type="dxa"/>
          <w:left w:w="0" w:type="dxa"/>
          <w:bottom w:w="0" w:type="dxa"/>
          <w:right w:w="0" w:type="dxa"/>
        </w:tblCellMar>
      </w:tblPr>
      <w:tblGrid>
        <w:gridCol w:w="1850"/>
        <w:gridCol w:w="410"/>
        <w:gridCol w:w="5540"/>
      </w:tblGrid>
      <w:tr>
        <w:trPr/>
        <w:tc>
          <w:tcPr>
            <w:tcW w:w="1850" w:type="dxa"/>
            <w:tcBorders/>
            <w:vAlign w:val="center"/>
          </w:tcPr>
          <w:p>
            <w:pPr>
              <w:pStyle w:val="TableContents"/>
              <w:bidi w:val="0"/>
              <w:spacing w:before="0" w:after="283"/>
              <w:jc w:val="left"/>
              <w:rPr/>
            </w:pPr>
            <w:r>
              <w:rPr/>
              <w:t> </w:t>
            </w:r>
          </w:p>
        </w:tc>
        <w:tc>
          <w:tcPr>
            <w:tcW w:w="5950" w:type="dxa"/>
            <w:gridSpan w:val="2"/>
            <w:tcBorders/>
            <w:vAlign w:val="center"/>
          </w:tcPr>
          <w:p>
            <w:pPr>
              <w:pStyle w:val="TableContents"/>
              <w:bidi w:val="0"/>
              <w:spacing w:before="0" w:after="283"/>
              <w:jc w:val="left"/>
              <w:rPr/>
            </w:pPr>
            <w:r>
              <w:rPr/>
              <w:t>BIG SKY INDUSTRIAL INC.</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L. SMITH,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(Principal Executive Officer)</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L. ZAJAC,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35 </w:t>
      </w:r>
    </w:p>
    <w:p>
      <w:pPr>
        <w:pStyle w:val="TextBody"/>
        <w:bidi w:val="0"/>
        <w:spacing w:before="0" w:after="0"/>
        <w:ind w:left="0" w:right="0" w:hanging="0"/>
        <w:jc w:val="right"/>
        <w:rPr>
          <w:rFonts w:ascii="Times New Roman" w:hAnsi="Times New Roman"/>
          <w:b/>
          <w:caps w:val="false"/>
          <w:smallCaps w:val="false"/>
          <w:sz w:val="20"/>
        </w:rPr>
      </w:pPr>
      <w:bookmarkStart w:id="23" w:name="ex_976751.htm"/>
      <w:bookmarkStart w:id="24" w:name="ksex_976751"/>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Ryan L. Smith,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203"/>
        <w:gridCol w:w="9863"/>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big Sky Industrial Inc;</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55153F20265131781371352239"/>
      <w:bookmarkEnd w:id="25"/>
      <w:r>
        <w:rPr>
          <w:rFonts w:ascii="Times New Roman" w:hAnsi="Times New Roman"/>
          <w:caps w:val="false"/>
          <w:smallCaps w:val="false"/>
          <w:sz w:val="20"/>
        </w:rPr>
        <w:t>August 11, 2026</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410"/>
        <w:gridCol w:w="2465"/>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76752.htm"/>
      <w:bookmarkStart w:id="27" w:name="ksex_976752"/>
      <w:bookmarkEnd w:id="26"/>
      <w:bookmarkEnd w:id="2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Mark L. Zajac,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
        <w:gridCol w:w="203"/>
        <w:gridCol w:w="9863"/>
      </w:tblGrid>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Big Sky Industrial Inc..;</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39" w:type="dxa"/>
            <w:tcBorders/>
            <w:vAlign w:val="center"/>
          </w:tcPr>
          <w:p>
            <w:pPr>
              <w:pStyle w:val="TableContents"/>
              <w:bidi w:val="0"/>
              <w:spacing w:before="0" w:after="283"/>
              <w:jc w:val="left"/>
              <w:rPr/>
            </w:pPr>
            <w:r>
              <w:rPr/>
              <w:t> </w:t>
            </w:r>
          </w:p>
        </w:tc>
        <w:tc>
          <w:tcPr>
            <w:tcW w:w="10066" w:type="dxa"/>
            <w:gridSpan w:val="2"/>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officer certifying offer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139"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8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1850"/>
        <w:gridCol w:w="410"/>
        <w:gridCol w:w="380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8" w:name="led455153F20265131781371391727"/>
            <w:bookmarkEnd w:id="28"/>
            <w:r>
              <w:rPr>
                <w:rFonts w:ascii="Times New Roman" w:hAnsi="Times New Roman"/>
                <w:caps w:val="false"/>
                <w:smallCaps w:val="false"/>
                <w:sz w:val="20"/>
              </w:rPr>
              <w:t>August 11, 2026</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L. Zajac</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tc>
      </w:tr>
      <w:tr>
        <w:trPr/>
        <w:tc>
          <w:tcPr>
            <w:tcW w:w="185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976753.htm"/>
      <w:bookmarkStart w:id="30" w:name="ksex_976753"/>
      <w:bookmarkEnd w:id="29"/>
      <w:bookmarkEnd w:id="3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Big Sky Industrial Inc. (the “Company”) for the period ended </w:t>
      </w:r>
      <w:bookmarkStart w:id="31" w:name="led455153F20265131781371673166"/>
      <w:bookmarkEnd w:id="31"/>
      <w:r>
        <w:rPr>
          <w:rFonts w:ascii="Times New Roman" w:hAnsi="Times New Roman"/>
          <w:caps w:val="false"/>
          <w:smallCaps w:val="false"/>
          <w:sz w:val="20"/>
        </w:rPr>
        <w:t>June 30, 2026 as filed with the Securities and Exchange Commission on the date hereof (the “Report”), I Ryan L. Smith, certify, pursuant to 18 U.S.C. § 1350, as adopted pursuant to § 906 of the Sarbanes-Oxley Act of 2002, to my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32" w:name="led455153F20265131781371655416"/>
      <w:bookmarkEnd w:id="32"/>
      <w:r>
        <w:rPr>
          <w:rFonts w:ascii="Times New Roman" w:hAnsi="Times New Roman"/>
          <w:caps w:val="false"/>
          <w:smallCaps w:val="false"/>
          <w:sz w:val="20"/>
        </w:rPr>
        <w:t>August 11, 2026 </w:t>
      </w:r>
    </w:p>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60"/>
        <w:gridCol w:w="410"/>
        <w:gridCol w:w="2465"/>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24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Ryan L. Smith</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Chief Executive Officer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3" w:name="ex_976754.htm"/>
      <w:bookmarkStart w:id="34" w:name="ksex_976754"/>
      <w:bookmarkEnd w:id="33"/>
      <w:bookmarkEnd w:id="34"/>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 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Big Sky Industrial Inc. (the “Company”) for the period ended </w:t>
      </w:r>
      <w:bookmarkStart w:id="35" w:name="led455153F20265131781371729151"/>
      <w:bookmarkEnd w:id="35"/>
      <w:r>
        <w:rPr>
          <w:rFonts w:ascii="Times New Roman" w:hAnsi="Times New Roman"/>
          <w:caps w:val="false"/>
          <w:smallCaps w:val="false"/>
          <w:sz w:val="20"/>
        </w:rPr>
        <w:t>June 30, 2026 as filed with the Securities and Exchange Commission on the date hereof (the “Report”), I Mark L. Zajac, certify, pursuant to 18 U.S.C. § 1350, as adopted pursuant to § 906 of the Sarbanes-Oxley Act of 2002, to my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at the dates and for the periods indicated.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Date: </w:t>
      </w:r>
      <w:bookmarkStart w:id="36" w:name="led455153F20265131781371712511"/>
      <w:bookmarkEnd w:id="36"/>
      <w:r>
        <w:rPr>
          <w:rFonts w:ascii="Times New Roman" w:hAnsi="Times New Roman"/>
          <w:caps w:val="false"/>
          <w:smallCaps w:val="false"/>
          <w:sz w:val="20"/>
        </w:rPr>
        <w:t>August 11, 2026</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410"/>
        <w:gridCol w:w="3800"/>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8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Mark L. Zajac</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L. Zajac</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Chief Financial Officer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1594/000143774926019474/ex_971887.htm" TargetMode="External"/><Relationship Id="rId4" Type="http://schemas.openxmlformats.org/officeDocument/2006/relationships/hyperlink" Target="http://www.sec.gov/Archives/edgar/data/101594/000143774926019474/ex_971888.htm" TargetMode="External"/><Relationship Id="rId5" Type="http://schemas.openxmlformats.org/officeDocument/2006/relationships/hyperlink" Target="http://www.sec.gov/Archives/edgar/data/101594/000149315222000753/ex10-6.htm" TargetMode="External"/><Relationship Id="rId6" Type="http://schemas.openxmlformats.org/officeDocument/2006/relationships/hyperlink" Target="http://www.sec.gov/Archives/edgar/data/101594/000143774925029515/ex_862565.htm" TargetMode="External"/><Relationship Id="rId7" Type="http://schemas.openxmlformats.org/officeDocument/2006/relationships/hyperlink" Target="http://www.sec.gov/Archives/edgar/data/101594/000143774926012760/ex_947429.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17630</Words>
  <Characters>95646</Characters>
  <CharactersWithSpaces>115415</CharactersWithSpaces>
  <Paragraphs>6607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