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 ENERGY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000-06814</w:t>
            </w:r>
          </w:p>
        </w:tc>
        <w:tc>
          <w:tcPr>
            <w:tcW w:w="3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83-0205516</w:t>
            </w:r>
          </w:p>
        </w:tc>
      </w:tr>
      <w:tr>
        <w:trPr>
          <w:trHeight w:val="230"/>
        </w:trPr>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334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800" w:type="dxa"/>
            <w:vAlign w:val="bottom"/>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744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1616 S. Voss, Suite 725, Houston, Texas</w:t>
            </w:r>
          </w:p>
        </w:tc>
        <w:tc>
          <w:tcPr>
            <w:tcW w:w="38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77057</w:t>
            </w:r>
          </w:p>
        </w:tc>
      </w:tr>
      <w:tr>
        <w:trPr>
          <w:trHeight w:val="230"/>
        </w:trPr>
        <w:tc>
          <w:tcPr>
            <w:tcW w:w="7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80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993-3200</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253"/>
        </w:trPr>
        <w:tc>
          <w:tcPr>
            <w:tcW w:w="3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tcPr>
          <w:p>
            <w:pPr>
              <w:spacing w:after="0"/>
              <w:rPr>
                <w:sz w:val="21"/>
                <w:szCs w:val="21"/>
                <w:color w:val="auto"/>
              </w:rPr>
            </w:pPr>
          </w:p>
        </w:tc>
      </w:tr>
      <w:tr>
        <w:trPr>
          <w:trHeight w:val="190"/>
        </w:trPr>
        <w:tc>
          <w:tcPr>
            <w:tcW w:w="380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jc w:val="center"/>
              <w:ind w:right="370"/>
              <w:spacing w:after="0" w:line="170"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3"/>
        </w:trPr>
        <w:tc>
          <w:tcPr>
            <w:tcW w:w="38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jc w:val="center"/>
              <w:ind w:right="370"/>
              <w:spacing w:after="0" w:line="193" w:lineRule="exact"/>
              <w:rPr>
                <w:sz w:val="20"/>
                <w:szCs w:val="20"/>
                <w:color w:val="auto"/>
              </w:rPr>
            </w:pPr>
            <w:r>
              <w:rPr>
                <w:rFonts w:ascii="Times New Roman" w:cs="Times New Roman" w:eastAsia="Times New Roman" w:hAnsi="Times New Roman"/>
                <w:sz w:val="18"/>
                <w:szCs w:val="18"/>
                <w:b w:val="1"/>
                <w:bCs w:val="1"/>
                <w:color w:val="auto"/>
              </w:rPr>
              <w:t>USEG</w:t>
            </w:r>
          </w:p>
        </w:tc>
        <w:tc>
          <w:tcPr>
            <w:tcW w:w="4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NASDAQ Stock Market LLC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Company Name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U.S. Energy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approved an amendment to the Company’s Certificate of Incorporation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to change the Company’s name to </w:t>
      </w:r>
      <w:r>
        <w:rPr>
          <w:rFonts w:ascii="Times New Roman" w:cs="Times New Roman" w:eastAsia="Times New Roman" w:hAnsi="Times New Roman"/>
          <w:sz w:val="18"/>
          <w:szCs w:val="18"/>
          <w:b w:val="1"/>
          <w:bCs w:val="1"/>
          <w:color w:val="auto"/>
        </w:rPr>
        <w:t>Big Sky Industrial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 On June 3, 2026, the Company filed with the Secretary of State of the State of Delaware a Certificate of Amendment (the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to the Charter, which will effect the Name Change effective at 12:01 a.m. on June 8, 2026. Pursuant to Section 242(d)(1) of the General Corporation Law of the State of Delaware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the Name Change did not require approval of the Company’s stockholders and will not affect the rights of the Company’s security holders. A copy of the Certificate of Amendment is included as </w:t>
      </w:r>
      <w:r>
        <w:rPr>
          <w:rFonts w:ascii="Times New Roman" w:cs="Times New Roman" w:eastAsia="Times New Roman" w:hAnsi="Times New Roman"/>
          <w:sz w:val="18"/>
          <w:szCs w:val="18"/>
          <w:u w:val="single" w:color="auto"/>
          <w:color w:val="auto"/>
        </w:rPr>
        <w:t>Exhibit 3.1</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Board approved an amendment to the Company’s Amended and Restated Bylaws solely to reflect the Name Change (the “</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xml:space="preserve">”). The Amended and Restated Bylaws will become effective immediately after the Name Change on June 8, 2026. In accordance with the DGCL and the provisions of the Company’s organizational documents, the Board approved the Amended and Restated Bylaws, and stockholder approval was not required for such amendment. A copy of the Amended and Restated Bylaws is included as </w:t>
      </w:r>
      <w:r>
        <w:rPr>
          <w:rFonts w:ascii="Times New Roman" w:cs="Times New Roman" w:eastAsia="Times New Roman" w:hAnsi="Times New Roman"/>
          <w:sz w:val="18"/>
          <w:szCs w:val="18"/>
          <w:u w:val="single" w:color="auto"/>
          <w:color w:val="auto"/>
        </w:rPr>
        <w:t>Exhibit 3.2</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other changes to the Charter or the Bylaws except as disclosed in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June 4, 2026, the Company issued a press release announcing the Name Change and Symbol Change (discussed below). A copy of the press release is furnished hereto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w:t>
      </w:r>
      <w:r>
        <w:rPr>
          <w:rFonts w:ascii="Times New Roman" w:cs="Times New Roman" w:eastAsia="Times New Roman" w:hAnsi="Times New Roman"/>
          <w:sz w:val="18"/>
          <w:szCs w:val="18"/>
          <w:u w:val="single" w:color="auto"/>
          <w:color w:val="auto"/>
        </w:rPr>
        <w:t>Item 7.01</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attached hereto, is being furnished and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is not incorporated by reference into any filing of the Company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Nasdaq Ticker Symbol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market open on June 8, 2026, the trading symbol of the Company’s common stock on The Nasdaq Capital Market is expected to change to “</w:t>
      </w:r>
      <w:r>
        <w:rPr>
          <w:rFonts w:ascii="Times New Roman" w:cs="Times New Roman" w:eastAsia="Times New Roman" w:hAnsi="Times New Roman"/>
          <w:sz w:val="18"/>
          <w:szCs w:val="18"/>
          <w:u w:val="single" w:color="auto"/>
          <w:color w:val="auto"/>
        </w:rPr>
        <w:t>BSIN</w:t>
      </w:r>
      <w:r>
        <w:rPr>
          <w:rFonts w:ascii="Times New Roman" w:cs="Times New Roman" w:eastAsia="Times New Roman" w:hAnsi="Times New Roman"/>
          <w:sz w:val="18"/>
          <w:szCs w:val="18"/>
          <w:color w:val="auto"/>
        </w:rPr>
        <w:t>”, to better reflect the Company’s new name (the “</w:t>
      </w:r>
      <w:r>
        <w:rPr>
          <w:rFonts w:ascii="Times New Roman" w:cs="Times New Roman" w:eastAsia="Times New Roman" w:hAnsi="Times New Roman"/>
          <w:sz w:val="18"/>
          <w:szCs w:val="18"/>
          <w:u w:val="single" w:color="auto"/>
          <w:color w:val="auto"/>
        </w:rPr>
        <w:t>Symbol 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will be no change in the Company’s CUSIP number in connection with the Name Change.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Corporate Website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Name Change, the Company launched a new corporate website: www.bigskyindustrialinc.com. The Company’s investor relations information, including press releases and links to the Company’s filings with the Securities and Exchange Commission, will now be found on this website. The Company’s Annual Report on Form 10-K, Quarterly Reports on Form 10-Q and Current Reports on Form 8-K, and amendments to these reports filed or furnished pursuant to Section 13(a) or 15(d) of the Securities Exchange Act of 1934, as amended, and the Company’s corporate governance documents, including the charters of the committees of the Board and Code of Ethics and Conduct, are available on this website. Any amendments to or waivers of the Company’s Code of Ethics and Conduct will be disclosed on this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Certificates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Name Change and Symbol Change do not affect the rights of the Company’s security holders. The Company’s common stock will continue to be traded on The Nasdaq Capital Market. Following the Name Change, the stock certificates of the Company which reflect the former name of the Company, will continue to be valid. Certificates reflecting the Name Change will be issued in due course as old stock certificates are tendered for exchange or transfer to the Company’s transfer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u w:val="single" w:color="auto"/>
          <w:color w:val="0000EE"/>
        </w:rPr>
        <w:t>Certificate of Amendment to the Certificate of Incorporation of U.S. Energy Corp. as filed with the Secretary of State of Delaware on June 3, 2026, and effective on June 8, 2026</w:t>
      </w:r>
    </w:p>
    <w:p>
      <w:pPr>
        <w:ind w:right="4380"/>
        <w:spacing w:after="0" w:line="250" w:lineRule="auto"/>
        <w:rPr>
          <w:sz w:val="20"/>
          <w:szCs w:val="20"/>
          <w:color w:val="auto"/>
        </w:rPr>
      </w:pPr>
      <w:r>
        <w:rPr>
          <w:rFonts w:ascii="Times New Roman" w:cs="Times New Roman" w:eastAsia="Times New Roman" w:hAnsi="Times New Roman"/>
          <w:sz w:val="18"/>
          <w:szCs w:val="18"/>
          <w:u w:val="single" w:color="auto"/>
          <w:color w:val="0000EE"/>
        </w:rPr>
        <w:t>Amended and Restated Bylaws of Big Sky Industrial Inc. effective June 8, 2026 Press Release, dated June 4,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380" w:space="720"/>
            <w:col w:w="10140"/>
          </w:cols>
          <w:pgMar w:left="320" w:top="578" w:right="33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U.S. ENERGY CORP.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Ryan Smith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78"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156845</wp:posOffset>
            </wp:positionV>
            <wp:extent cx="1774190" cy="86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419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ENERGY CORP.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Energy Corp., a corporation organized and existing under and by virtue of the General Corporation Law of the State of Delaware, DOES HEREBY CERTIFY: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U.S. Energy Corp.</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original name of the Company is U.S. Energy Corp. The date on which the Company’s original Certificate of Incorporation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with the Secretary of State of the State of Delaware is August 3, 2022.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That, upon action by unanimous written consent in lieu of a meeting of the Board of Directors of the Corporation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on May 20, 2026, the following resolutions were duly adopted, declaring advisable and approving the following amendment to the Certificate of Incorporation of the Corporation:</w:t>
      </w:r>
    </w:p>
    <w:p>
      <w:pPr>
        <w:spacing w:after="0" w:line="171"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242(a)(1)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242(d)(1)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General Corporation Law of the State of Delaware provide that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a corporation may amend its certificate of incorporation after receipt of payment for its capital stock to change its corporate name without submitting such amendment to a vote of its stockholders; and</w:t>
      </w:r>
    </w:p>
    <w:p>
      <w:pPr>
        <w:spacing w:after="0" w:line="171"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declares it advisable and in the best interest of the Corporation and its stockholders to amend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of the Corporation (the “</w:t>
      </w:r>
      <w:r>
        <w:rPr>
          <w:rFonts w:ascii="Times New Roman" w:cs="Times New Roman" w:eastAsia="Times New Roman" w:hAnsi="Times New Roman"/>
          <w:sz w:val="18"/>
          <w:szCs w:val="18"/>
          <w:b w:val="1"/>
          <w:bCs w:val="1"/>
          <w:u w:val="single" w:color="auto"/>
          <w:color w:val="auto"/>
        </w:rPr>
        <w:t>Certificate of Incorporation</w:t>
      </w:r>
      <w:r>
        <w:rPr>
          <w:rFonts w:ascii="Times New Roman" w:cs="Times New Roman" w:eastAsia="Times New Roman" w:hAnsi="Times New Roman"/>
          <w:sz w:val="18"/>
          <w:szCs w:val="18"/>
          <w:color w:val="auto"/>
        </w:rPr>
        <w:t>”), to change the name of the Corporation from ‘</w:t>
      </w:r>
      <w:r>
        <w:rPr>
          <w:rFonts w:ascii="Times New Roman" w:cs="Times New Roman" w:eastAsia="Times New Roman" w:hAnsi="Times New Roman"/>
          <w:sz w:val="18"/>
          <w:szCs w:val="18"/>
          <w:b w:val="1"/>
          <w:bCs w:val="1"/>
          <w:color w:val="auto"/>
        </w:rPr>
        <w:t>U.S. Energy Corp.</w:t>
      </w:r>
      <w:r>
        <w:rPr>
          <w:rFonts w:ascii="Times New Roman" w:cs="Times New Roman" w:eastAsia="Times New Roman" w:hAnsi="Times New Roman"/>
          <w:sz w:val="18"/>
          <w:szCs w:val="18"/>
          <w:color w:val="auto"/>
        </w:rPr>
        <w:t>’ to ‘</w:t>
      </w:r>
      <w:r>
        <w:rPr>
          <w:rFonts w:ascii="Times New Roman" w:cs="Times New Roman" w:eastAsia="Times New Roman" w:hAnsi="Times New Roman"/>
          <w:sz w:val="18"/>
          <w:szCs w:val="18"/>
          <w:b w:val="1"/>
          <w:bCs w:val="1"/>
          <w:color w:val="auto"/>
        </w:rPr>
        <w:t>Big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Sky Industrial Inc.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Corporate Name Change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225" w:lineRule="exact"/>
        <w:rPr>
          <w:sz w:val="20"/>
          <w:szCs w:val="20"/>
          <w:color w:val="auto"/>
        </w:rPr>
      </w:pPr>
    </w:p>
    <w:p>
      <w:pPr>
        <w:ind w:lef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at the Effective Time (defined below),</w:t>
      </w:r>
      <w:r>
        <w:rPr>
          <w:rFonts w:ascii="Times New Roman" w:cs="Times New Roman" w:eastAsia="Times New Roman" w:hAnsi="Times New Roman"/>
          <w:sz w:val="18"/>
          <w:szCs w:val="18"/>
          <w:b w:val="1"/>
          <w:bCs w:val="1"/>
          <w:color w:val="auto"/>
        </w:rPr>
        <w:t xml:space="preserve"> ARTICLE I </w:t>
      </w:r>
      <w:r>
        <w:rPr>
          <w:rFonts w:ascii="Times New Roman" w:cs="Times New Roman" w:eastAsia="Times New Roman" w:hAnsi="Times New Roman"/>
          <w:sz w:val="18"/>
          <w:szCs w:val="18"/>
          <w:color w:val="auto"/>
        </w:rPr>
        <w:t>of the Certificate of Incorporation shall be deleted and replaced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entirety with the following: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name of the corporation is Big Sky Industrial Inc.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Corporation be, and each of them hereby is, authorized, empowered and directed to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Amendment (the “</w:t>
      </w:r>
      <w:r>
        <w:rPr>
          <w:rFonts w:ascii="Times New Roman" w:cs="Times New Roman" w:eastAsia="Times New Roman" w:hAnsi="Times New Roman"/>
          <w:sz w:val="18"/>
          <w:szCs w:val="18"/>
          <w:b w:val="1"/>
          <w:bCs w:val="1"/>
          <w:u w:val="single" w:color="auto"/>
          <w:color w:val="auto"/>
        </w:rPr>
        <w:t>Certificate of Amendment</w:t>
      </w:r>
      <w:r>
        <w:rPr>
          <w:rFonts w:ascii="Times New Roman" w:cs="Times New Roman" w:eastAsia="Times New Roman" w:hAnsi="Times New Roman"/>
          <w:sz w:val="18"/>
          <w:szCs w:val="18"/>
          <w:color w:val="auto"/>
        </w:rPr>
        <w:t>”) to the Certificate of Incorporation with the Secretary of State of the State of Delaware, and to take all other actions necessary or appropriate to affect the Corporate Name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That the aforesaid amendment was duly adopted in accordance with the applicable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without a meeting or vote of the Corporation’s stockholders.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That this Certificate of Amendment to the Certificate of Incorporation shall be effective on June 8, 2026, at 12:01 a.m. Eastern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U.S. Energy Corp. has caused this certificate to be signed by Ryan Smith, its Chief Executive Officer, this 3rd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Energy Corp.</w:t>
      </w:r>
    </w:p>
    <w:p>
      <w:pPr>
        <w:spacing w:after="0" w:line="200" w:lineRule="exact"/>
        <w:rPr>
          <w:sz w:val="20"/>
          <w:szCs w:val="20"/>
          <w:color w:val="auto"/>
        </w:rPr>
      </w:pP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u w:val="single" w:color="auto"/>
          <w:color w:val="auto"/>
        </w:rPr>
        <w:t>/s/ Ryan Smith</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Ryan Smith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57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BIG SKY INDUSTRIAL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Adopted Effective on August 3, 2022, Amended and Restated by the Board of Directors Effective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791210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5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TABLE OF CONTENTS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Meeting.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Notice of Business to be Brought before a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 Notice of Nominations for Election of Directors at a Meeting.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Procedures for Stockholders to Act by Consent in Lieu of a Meeting.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2.10.Adjourned Meeting; Notice.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2.11.Conduct of Business.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2.12.Voting.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2.13.Record Date for Stockholder Meetings and Other Purposes.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2.14.Proxies.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2.15.List of Stockholders Entitled to Vote.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2.16.Inspectors of Election.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2.17.Delivery to the Corporation.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D</w:t>
            </w:r>
            <w:r>
              <w:rPr>
                <w:rFonts w:ascii="Times New Roman" w:cs="Times New Roman" w:eastAsia="Times New Roman" w:hAnsi="Times New Roman"/>
                <w:sz w:val="12"/>
                <w:szCs w:val="12"/>
                <w:b w:val="1"/>
                <w:bCs w:val="1"/>
                <w:color w:val="auto"/>
              </w:rPr>
              <w:t>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Meetings; Notice.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3.8.</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IV. C</w:t>
            </w:r>
            <w:r>
              <w:rPr>
                <w:rFonts w:ascii="Times New Roman" w:cs="Times New Roman" w:eastAsia="Times New Roman" w:hAnsi="Times New Roman"/>
                <w:sz w:val="12"/>
                <w:szCs w:val="12"/>
                <w:b w:val="1"/>
                <w:bCs w:val="1"/>
                <w:color w:val="auto"/>
              </w:rPr>
              <w:t>ommittees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Committee Minutes.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Subcommittees.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O</w:t>
            </w:r>
            <w:r>
              <w:rPr>
                <w:rFonts w:ascii="Times New Roman" w:cs="Times New Roman" w:eastAsia="Times New Roman" w:hAnsi="Times New Roman"/>
                <w:sz w:val="12"/>
                <w:szCs w:val="12"/>
                <w:b w:val="1"/>
                <w:bCs w:val="1"/>
                <w:color w:val="auto"/>
              </w:rPr>
              <w:t>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of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 Officers.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Vacancies in Offices.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9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 R</w:t>
            </w:r>
            <w:r>
              <w:rPr>
                <w:rFonts w:ascii="Times New Roman" w:cs="Times New Roman" w:eastAsia="Times New Roman" w:hAnsi="Times New Roman"/>
                <w:sz w:val="12"/>
                <w:szCs w:val="12"/>
                <w:b w:val="1"/>
                <w:bCs w:val="1"/>
                <w:color w:val="auto"/>
              </w:rPr>
              <w:t>ecords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98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Certificates.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7.7.</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7.9.</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7.10.Transfer of Stock.</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7.11.Stock Transfer Agreements.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7.12.Registered Stockholders.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7.13.Waiver of Notice.</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N</w:t>
            </w:r>
            <w:r>
              <w:rPr>
                <w:rFonts w:ascii="Times New Roman" w:cs="Times New Roman" w:eastAsia="Times New Roman" w:hAnsi="Times New Roman"/>
                <w:sz w:val="12"/>
                <w:szCs w:val="12"/>
                <w:b w:val="1"/>
                <w:bCs w:val="1"/>
                <w:color w:val="auto"/>
              </w:rPr>
              <w:t>otice</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I</w:t>
            </w:r>
            <w:r>
              <w:rPr>
                <w:rFonts w:ascii="Times New Roman" w:cs="Times New Roman" w:eastAsia="Times New Roman" w:hAnsi="Times New Roman"/>
                <w:sz w:val="12"/>
                <w:szCs w:val="12"/>
                <w:b w:val="1"/>
                <w:bCs w:val="1"/>
                <w:color w:val="auto"/>
              </w:rPr>
              <w:t>ndemnification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 of Expenses.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9.4.</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Determination; Claim.</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9.6.</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Indemnification.</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A</w:t>
            </w:r>
            <w:r>
              <w:rPr>
                <w:rFonts w:ascii="Times New Roman" w:cs="Times New Roman" w:eastAsia="Times New Roman" w:hAnsi="Times New Roman"/>
                <w:sz w:val="12"/>
                <w:szCs w:val="12"/>
                <w:b w:val="1"/>
                <w:bCs w:val="1"/>
                <w:color w:val="auto"/>
              </w:rPr>
              <w:t>mendments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XI. U</w:t>
            </w:r>
            <w:r>
              <w:rPr>
                <w:rFonts w:ascii="Times New Roman" w:cs="Times New Roman" w:eastAsia="Times New Roman" w:hAnsi="Times New Roman"/>
                <w:sz w:val="12"/>
                <w:szCs w:val="12"/>
                <w:b w:val="1"/>
                <w:bCs w:val="1"/>
                <w:color w:val="auto"/>
              </w:rPr>
              <w:t>niformity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everability</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8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11.1.Interpretation and Severability.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XII. - D</w:t>
            </w:r>
            <w:r>
              <w:rPr>
                <w:rFonts w:ascii="Times New Roman" w:cs="Times New Roman" w:eastAsia="Times New Roman" w:hAnsi="Times New Roman"/>
                <w:sz w:val="12"/>
                <w:szCs w:val="12"/>
                <w:b w:val="1"/>
                <w:bCs w:val="1"/>
                <w:color w:val="auto"/>
              </w:rPr>
              <w:t>efinitions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574"/>
        </w:trPr>
        <w:tc>
          <w:tcPr>
            <w:tcW w:w="9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BIG SKY INDUSTRIAL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registered office of Big Sky Industrial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in the State of Delaware, and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have additional offices at any place or places, within or outside the State of Delaware,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held at such place, if any, within or outside the State of Delaware,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designate the date and time of the annual meeting. At the annual meeting, directors shall be elected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proper business properly brought before the meeting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these bylaws may be transacted. The Board may postpone, reschedule or cancel any previously scheduled annual meeting of stockholders.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may be called only by such persons and only in such manner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and in these bylaws.</w:t>
      </w:r>
    </w:p>
    <w:p>
      <w:pPr>
        <w:spacing w:after="0" w:line="15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u w:val="single" w:color="auto"/>
          <w:color w:val="auto"/>
        </w:rPr>
        <w:t>Advance Notice of Business to be Brought before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At an annual meeting of the stockholders, only such business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(A)(1) was a record owner of shares of the Corporation both at the time of giving the notice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at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The foregoing clause (c) shall be the exclusive means for a stockholder to propose business to be brought before an annual meeting of the stockholders.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w:t>
      </w:r>
      <w:r>
        <w:rPr>
          <w:rFonts w:ascii="Times New Roman" w:cs="Times New Roman" w:eastAsia="Times New Roman" w:hAnsi="Times New Roman"/>
          <w:sz w:val="18"/>
          <w:szCs w:val="18"/>
          <w:b w:val="1"/>
          <w:bCs w:val="1"/>
          <w:i w:val="1"/>
          <w:iCs w:val="1"/>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annual meeting of the Corporation, or a qualified representative of such proposing stockholder, appear at such annual meeting.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xml:space="preser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applicable to nominations for election to the Board except as expressly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these bylaws.</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1016"/>
        <w:spacing w:after="0" w:line="236" w:lineRule="auto"/>
        <w:tabs>
          <w:tab w:leader="none" w:pos="12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if later,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203"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1020" w:firstLine="446"/>
        <w:spacing w:after="0" w:line="256" w:lineRule="auto"/>
        <w:tabs>
          <w:tab w:leader="none" w:pos="171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b w:val="1"/>
          <w:bCs w:val="1"/>
          <w:i w:val="1"/>
          <w:iCs w:val="1"/>
          <w:color w:val="auto"/>
        </w:rPr>
        <w:t>Stockholder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left="4" w:firstLine="446"/>
        <w:spacing w:after="0" w:line="253" w:lineRule="auto"/>
        <w:tabs>
          <w:tab w:leader="none" w:pos="71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w:t>
      </w:r>
      <w:r>
        <w:rPr>
          <w:rFonts w:ascii="Times New Roman" w:cs="Times New Roman" w:eastAsia="Times New Roman" w:hAnsi="Times New Roman"/>
          <w:sz w:val="18"/>
          <w:szCs w:val="18"/>
          <w:b w:val="1"/>
          <w:bCs w:val="1"/>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(as such term is defined in Rule 16a-1(c) under the Exchange Act) that constitutes a “</w:t>
      </w:r>
      <w:r>
        <w:rPr>
          <w:rFonts w:ascii="Times New Roman" w:cs="Times New Roman" w:eastAsia="Times New Roman" w:hAnsi="Times New Roman"/>
          <w:sz w:val="18"/>
          <w:szCs w:val="18"/>
          <w:b w:val="1"/>
          <w:bCs w:val="1"/>
          <w:i w:val="1"/>
          <w:iCs w:val="1"/>
          <w:color w:val="auto"/>
        </w:rPr>
        <w:t>call equivalent position</w:t>
      </w:r>
      <w:r>
        <w:rPr>
          <w:rFonts w:ascii="Times New Roman" w:cs="Times New Roman" w:eastAsia="Times New Roman" w:hAnsi="Times New Roman"/>
          <w:sz w:val="18"/>
          <w:szCs w:val="18"/>
          <w:color w:val="auto"/>
        </w:rPr>
        <w:t>” (as such term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in Rule 16a-1(b) under the Exchange Act) (“</w:t>
      </w:r>
      <w:r>
        <w:rPr>
          <w:rFonts w:ascii="Times New Roman" w:cs="Times New Roman" w:eastAsia="Times New Roman" w:hAnsi="Times New Roman"/>
          <w:sz w:val="18"/>
          <w:szCs w:val="18"/>
          <w:b w:val="1"/>
          <w:bCs w:val="1"/>
          <w:i w:val="1"/>
          <w:iCs w:val="1"/>
          <w:color w:val="auto"/>
        </w:rPr>
        <w:t>Synthetic Equity Position</w:t>
      </w:r>
      <w:r>
        <w:rPr>
          <w:rFonts w:ascii="Times New Roman" w:cs="Times New Roman" w:eastAsia="Times New Roman" w:hAnsi="Times New Roman"/>
          <w:sz w:val="18"/>
          <w:szCs w:val="18"/>
          <w:color w:val="auto"/>
        </w:rPr>
        <w:t xml:space="preserve">”) and that is, directly or indirectly, held or maintained by such Proposing Person with respect to any shares of any class or series of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Proposing Person satisfying the requirements of Rule 13d-1(b)(1) under the Exchange Act (other than a Proposing Person that so satisfies Rule 13d-1(b)</w:t>
      </w:r>
    </w:p>
    <w:p>
      <w:pPr>
        <w:jc w:val="both"/>
        <w:ind w:left="4" w:hanging="4"/>
        <w:spacing w:after="0" w:line="250" w:lineRule="auto"/>
        <w:tabs>
          <w:tab w:leader="none" w:pos="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w:t>
      </w:r>
    </w:p>
    <w:p>
      <w:pPr>
        <w:spacing w:after="0" w:line="2"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b w:val="1"/>
          <w:bCs w:val="1"/>
          <w:i w:val="1"/>
          <w:iCs w:val="1"/>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92" w:lineRule="exact"/>
        <w:rPr>
          <w:rFonts w:ascii="Times New Roman" w:cs="Times New Roman" w:eastAsia="Times New Roman" w:hAnsi="Times New Roman"/>
          <w:sz w:val="18"/>
          <w:szCs w:val="18"/>
          <w:color w:val="auto"/>
        </w:rPr>
      </w:pPr>
    </w:p>
    <w:p>
      <w:pPr>
        <w:jc w:val="both"/>
        <w:ind w:left="4" w:firstLine="446"/>
        <w:spacing w:after="0" w:line="254" w:lineRule="auto"/>
        <w:tabs>
          <w:tab w:leader="none" w:pos="6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w:t>
      </w:r>
    </w:p>
    <w:p>
      <w:pPr>
        <w:spacing w:after="0" w:line="3"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between or among any Proposing Person and any other record or beneficial holder(s) or person(s) who have a right to acquire beneficial ownership at any time in the future of the shares of any class or series of stock of the Corporation or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disclosures required by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4" w:lineRule="exact"/>
        <w:rPr>
          <w:sz w:val="20"/>
          <w:szCs w:val="20"/>
          <w:color w:val="auto"/>
        </w:rPr>
      </w:pPr>
    </w:p>
    <w:p>
      <w:pPr>
        <w:jc w:val="center"/>
        <w:ind w:right="1016"/>
        <w:spacing w:after="0"/>
        <w:rPr>
          <w:sz w:val="20"/>
          <w:szCs w:val="20"/>
          <w:color w:val="auto"/>
        </w:rPr>
      </w:pPr>
      <w:r>
        <w:rPr>
          <w:rFonts w:ascii="Times New Roman" w:cs="Times New Roman" w:eastAsia="Times New Roman" w:hAnsi="Times New Roman"/>
          <w:sz w:val="18"/>
          <w:szCs w:val="18"/>
          <w:color w:val="auto"/>
        </w:rPr>
        <w:t>Page 3 of 22</w:t>
      </w:r>
    </w:p>
    <w:p>
      <w:pPr>
        <w:spacing w:after="0" w:line="27" w:lineRule="exact"/>
        <w:rPr>
          <w:sz w:val="20"/>
          <w:szCs w:val="20"/>
          <w:color w:val="auto"/>
        </w:rPr>
      </w:pPr>
    </w:p>
    <w:p>
      <w:pPr>
        <w:jc w:val="center"/>
        <w:ind w:right="1016"/>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1016"/>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4"/>
          </w:cols>
          <w:pgMar w:left="1336" w:top="576" w:right="339" w:bottom="1440" w:gutter="0" w:footer="0" w:header="0"/>
        </w:sectPr>
      </w:pPr>
    </w:p>
    <w:bookmarkStart w:id="11" w:name="page12"/>
    <w:bookmarkEnd w:id="11"/>
    <w:p>
      <w:pPr>
        <w:jc w:val="both"/>
        <w:ind w:firstLine="1016"/>
        <w:spacing w:after="0" w:line="262" w:lineRule="auto"/>
        <w:tabs>
          <w:tab w:leader="none" w:pos="1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180" w:lineRule="exact"/>
        <w:rPr>
          <w:rFonts w:ascii="Times New Roman" w:cs="Times New Roman" w:eastAsia="Times New Roman" w:hAnsi="Times New Roman"/>
          <w:sz w:val="18"/>
          <w:szCs w:val="18"/>
          <w:color w:val="auto"/>
        </w:rPr>
      </w:pPr>
    </w:p>
    <w:p>
      <w:pPr>
        <w:jc w:val="both"/>
        <w:ind w:firstLine="1016"/>
        <w:spacing w:after="0" w:line="253" w:lineRule="auto"/>
        <w:tabs>
          <w:tab w:leader="none" w:pos="1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1016"/>
        <w:spacing w:after="0" w:line="261" w:lineRule="auto"/>
        <w:tabs>
          <w:tab w:leader="none" w:pos="13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presiding person of the meeting shall, if the facts warrant, determine that the business was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179" w:lineRule="exact"/>
        <w:rPr>
          <w:rFonts w:ascii="Times New Roman" w:cs="Times New Roman" w:eastAsia="Times New Roman" w:hAnsi="Times New Roman"/>
          <w:sz w:val="18"/>
          <w:szCs w:val="18"/>
          <w:color w:val="auto"/>
        </w:rPr>
      </w:pPr>
    </w:p>
    <w:p>
      <w:pPr>
        <w:jc w:val="both"/>
        <w:ind w:firstLine="1016"/>
        <w:spacing w:after="0" w:line="258" w:lineRule="auto"/>
        <w:tabs>
          <w:tab w:leader="none" w:pos="1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179" w:lineRule="exact"/>
        <w:rPr>
          <w:rFonts w:ascii="Times New Roman" w:cs="Times New Roman" w:eastAsia="Times New Roman" w:hAnsi="Times New Roman"/>
          <w:sz w:val="18"/>
          <w:szCs w:val="18"/>
          <w:color w:val="auto"/>
        </w:rPr>
      </w:pPr>
    </w:p>
    <w:p>
      <w:pPr>
        <w:ind w:firstLine="1016"/>
        <w:spacing w:after="0" w:line="286" w:lineRule="auto"/>
        <w:tabs>
          <w:tab w:leader="none" w:pos="1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b w:val="1"/>
          <w:bCs w:val="1"/>
          <w:i w:val="1"/>
          <w:iCs w:val="1"/>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u w:val="single" w:color="auto"/>
          <w:color w:val="auto"/>
        </w:rPr>
        <w:t>Advance Notice of Nominations for Election of Directors at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Nominations of any person for election to the Board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may be made at such meeting only (a) by or at the direction of the Board, including by any committee or persons authorized to do so by the Board or these bylaws, or (b) by a stockholder present in person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who (1) was a record owner of shares of the Corporation both at the time of giving the notice provided for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at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as to such notice and nomination. Other than nominations made by a stockholder in accordance with the Nominating Agreement, the foregoing clause (c) shall be the exclusive means for a stockholder to make any nomination of a person or persons for election to the Board at any annual meeting of stockholders.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4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ind w:firstLine="1016"/>
        <w:spacing w:after="0" w:line="255" w:lineRule="auto"/>
        <w:tabs>
          <w:tab w:leader="none" w:pos="1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a stockholder to make any nomination of a person or persons for election to the Board at an annual meeting, the stockholder must (a) provide Timely Notice (as defined in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of these bylaws) thereof in writing and in proper form to the Secretary of the Corporation, (b) provide the information, agreements and questionnaires with respect to such stockholder and its candidate for nomination as required to be set forth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88" w:lineRule="exact"/>
        <w:rPr>
          <w:rFonts w:ascii="Times New Roman" w:cs="Times New Roman" w:eastAsia="Times New Roman" w:hAnsi="Times New Roman"/>
          <w:sz w:val="18"/>
          <w:szCs w:val="18"/>
          <w:color w:val="auto"/>
        </w:rPr>
      </w:pPr>
    </w:p>
    <w:p>
      <w:pPr>
        <w:ind w:firstLine="1016"/>
        <w:spacing w:after="0" w:line="282" w:lineRule="auto"/>
        <w:tabs>
          <w:tab w:leader="none" w:pos="1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the announcement thereof commence a new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1020" w:firstLine="446"/>
        <w:spacing w:after="0" w:line="266" w:lineRule="auto"/>
        <w:tabs>
          <w:tab w:leader="none" w:pos="17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(as defined below), the Stockholder Information (as defined in </w:t>
      </w:r>
      <w:r>
        <w:rPr>
          <w:rFonts w:ascii="Times New Roman" w:cs="Times New Roman" w:eastAsia="Times New Roman" w:hAnsi="Times New Roman"/>
          <w:sz w:val="18"/>
          <w:szCs w:val="18"/>
          <w:u w:val="single" w:color="auto"/>
          <w:color w:val="auto"/>
        </w:rPr>
        <w:t>Section 2.4(iii)(a)</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2.4(iii)(a)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020" w:firstLine="446"/>
        <w:spacing w:after="0" w:line="261" w:lineRule="auto"/>
        <w:tabs>
          <w:tab w:leader="none" w:pos="177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w:t>
      </w:r>
      <w:r>
        <w:rPr>
          <w:rFonts w:ascii="Times New Roman" w:cs="Times New Roman" w:eastAsia="Times New Roman" w:hAnsi="Times New Roman"/>
          <w:sz w:val="18"/>
          <w:szCs w:val="18"/>
          <w:u w:val="single" w:color="auto"/>
          <w:color w:val="auto"/>
        </w:rPr>
        <w:t>Section 2.4(iii)(b)</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2.4(iii)</w:t>
      </w:r>
    </w:p>
    <w:p>
      <w:pPr>
        <w:ind w:left="10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the disclosure with respect to the business to be brought before the meeting in </w:t>
      </w:r>
      <w:r>
        <w:rPr>
          <w:rFonts w:ascii="Times New Roman" w:cs="Times New Roman" w:eastAsia="Times New Roman" w:hAnsi="Times New Roman"/>
          <w:sz w:val="18"/>
          <w:szCs w:val="18"/>
          <w:u w:val="single" w:color="auto"/>
          <w:color w:val="auto"/>
        </w:rPr>
        <w:t>Section 2.4(iii)(c)</w:t>
      </w:r>
      <w:r>
        <w:rPr>
          <w:rFonts w:ascii="Times New Roman" w:cs="Times New Roman" w:eastAsia="Times New Roman" w:hAnsi="Times New Roman"/>
          <w:sz w:val="18"/>
          <w:szCs w:val="18"/>
          <w:color w:val="auto"/>
        </w:rPr>
        <w:t xml:space="preserve"> shall be made with respect to nomination of each person for election as a director at the meeting); and</w:t>
      </w:r>
    </w:p>
    <w:p>
      <w:pPr>
        <w:spacing w:after="0" w:line="181" w:lineRule="exact"/>
        <w:rPr>
          <w:rFonts w:ascii="Times New Roman" w:cs="Times New Roman" w:eastAsia="Times New Roman" w:hAnsi="Times New Roman"/>
          <w:sz w:val="18"/>
          <w:szCs w:val="18"/>
          <w:color w:val="auto"/>
        </w:rPr>
      </w:pPr>
    </w:p>
    <w:p>
      <w:pPr>
        <w:jc w:val="both"/>
        <w:ind w:left="1020" w:firstLine="446"/>
        <w:spacing w:after="0" w:line="253" w:lineRule="auto"/>
        <w:tabs>
          <w:tab w:leader="none" w:pos="17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8"/>
          <w:szCs w:val="18"/>
          <w:b w:val="1"/>
          <w:bCs w:val="1"/>
          <w:i w:val="1"/>
          <w:iCs w:val="1"/>
          <w:color w:val="auto"/>
        </w:rPr>
        <w:t>Nominee Information</w:t>
      </w:r>
      <w:r>
        <w:rPr>
          <w:rFonts w:ascii="Times New Roman" w:cs="Times New Roman" w:eastAsia="Times New Roman" w:hAnsi="Times New Roman"/>
          <w:sz w:val="18"/>
          <w:szCs w:val="18"/>
          <w:color w:val="auto"/>
        </w:rPr>
        <w:t xml:space="preserve">”), and (D) a completed and signed questionnaire, representation and agreement as provided in </w:t>
      </w:r>
      <w:r>
        <w:rPr>
          <w:rFonts w:ascii="Times New Roman" w:cs="Times New Roman" w:eastAsia="Times New Roman" w:hAnsi="Times New Roman"/>
          <w:sz w:val="18"/>
          <w:szCs w:val="18"/>
          <w:u w:val="single" w:color="auto"/>
          <w:color w:val="auto"/>
        </w:rPr>
        <w:t>Section 2.7(i)</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016"/>
        <w:spacing w:after="0" w:line="268" w:lineRule="auto"/>
        <w:tabs>
          <w:tab w:leader="none" w:pos="12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other participant in such solicitation.</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5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1016"/>
        <w:spacing w:after="0" w:line="253" w:lineRule="auto"/>
        <w:tabs>
          <w:tab w:leader="none" w:pos="1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ind w:firstLine="1016"/>
        <w:spacing w:after="0" w:line="282" w:lineRule="auto"/>
        <w:tabs>
          <w:tab w:leader="none" w:pos="13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any nomination proposed to be made at a meeting, each Nominating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jc w:val="both"/>
        <w:ind w:firstLine="1016"/>
        <w:spacing w:after="0" w:line="266" w:lineRule="auto"/>
        <w:tabs>
          <w:tab w:leader="none" w:pos="14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for as long as the Nominating Agreement remains in effect with respect to a Nominating Seller, each Nominating Seller (to the extent then subject to the Nominating Agreement, as may be amended from time to time) shall not be subject to the notice provisions set forth in paragraphs (ii), (iii), (iv), (v) and (vi)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p>
    <w:p>
      <w:pPr>
        <w:spacing w:after="0" w:line="225" w:lineRule="exact"/>
        <w:rPr>
          <w:sz w:val="20"/>
          <w:szCs w:val="20"/>
          <w:color w:val="auto"/>
        </w:rPr>
      </w:pPr>
    </w:p>
    <w:p>
      <w:pPr>
        <w:jc w:val="both"/>
        <w:ind w:firstLine="1016"/>
        <w:spacing w:after="0" w:line="252" w:lineRule="auto"/>
        <w:tabs>
          <w:tab w:leader="none" w:pos="12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eligible to be a candidate for election as a director of the Corporation at an annual meeting, a candidate must be nominated in the manner prescribed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(a) a completed written questionnaire (in the form provided by the Corporation upon written request therefor) with respect to the background, qualifications, stock ownership and independence of such proposed nominee and (b) a written representation and agreement (in the form provided by the Corporation upon written request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other than, in the case of the Nominating Seller, the Nominating Agreement, by and among the Nominating Sellers and the Corporation, as amended from time to time,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6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1016"/>
        <w:spacing w:after="0" w:line="266"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w:t>
      </w:r>
    </w:p>
    <w:p>
      <w:pPr>
        <w:spacing w:after="0" w:line="175" w:lineRule="exact"/>
        <w:rPr>
          <w:rFonts w:ascii="Times New Roman" w:cs="Times New Roman" w:eastAsia="Times New Roman" w:hAnsi="Times New Roman"/>
          <w:sz w:val="18"/>
          <w:szCs w:val="18"/>
          <w:color w:val="auto"/>
        </w:rPr>
      </w:pPr>
    </w:p>
    <w:p>
      <w:pPr>
        <w:jc w:val="both"/>
        <w:ind w:firstLine="1016"/>
        <w:spacing w:after="0" w:line="253"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ind w:right="20" w:firstLine="1016"/>
        <w:spacing w:after="0" w:line="282" w:lineRule="auto"/>
        <w:tabs>
          <w:tab w:leader="none" w:pos="13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jc w:val="both"/>
        <w:ind w:firstLine="1016"/>
        <w:spacing w:after="0" w:line="256"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candidate shall be eligible for nomination as a director of the Corporation unless such candidate for nomination and the Nominating Person seeking to place such candidate’s name in nomination has complied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as applicable. The presiding person at the meeting shall, if the facts warrant, determine that a nomination was not properly made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firstLine="1016"/>
        <w:spacing w:after="0" w:line="282" w:lineRule="auto"/>
        <w:tabs>
          <w:tab w:leader="none" w:pos="132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for nomination by a Nominating Person shall be eligible to be seated as a director of the Corporation unless nominated and elected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by law, the Certificate of Incorporation or these bylaws, the notice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of stockholders shall be sent or otherwise given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7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u w:val="single" w:color="auto"/>
          <w:color w:val="auto"/>
        </w:rPr>
        <w:t>Procedures for Stockholders to Act by Consent in Lieu of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Unless otherwise prohibited by the Certificate of Incorporation,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action required or permitted to be taken at an annual or special meeting of stockholders may be taken without a meeting, without prior notice and without a vote, if a consent or consents, setting forth the action so taken, (a) shall be signed by stockholders on the record date established pursuant to </w:t>
      </w:r>
      <w:r>
        <w:rPr>
          <w:rFonts w:ascii="Times New Roman" w:cs="Times New Roman" w:eastAsia="Times New Roman" w:hAnsi="Times New Roman"/>
          <w:sz w:val="18"/>
          <w:szCs w:val="18"/>
          <w:u w:val="single" w:color="auto"/>
          <w:color w:val="auto"/>
        </w:rPr>
        <w:t>Section 2.8(ii)</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b w:val="1"/>
          <w:bCs w:val="1"/>
          <w:i w:val="1"/>
          <w:iCs w:val="1"/>
          <w:color w:val="auto"/>
        </w:rPr>
        <w:t>Written Consent Record Date</w:t>
      </w:r>
      <w:r>
        <w:rPr>
          <w:rFonts w:ascii="Times New Roman" w:cs="Times New Roman" w:eastAsia="Times New Roman" w:hAnsi="Times New Roman"/>
          <w:sz w:val="18"/>
          <w:szCs w:val="18"/>
          <w:color w:val="auto"/>
        </w:rPr>
        <w:t xml:space="preserve">”) of outstanding shares of the Corporation having not less than the minimum number of votes that would be necessary to authorize or take such action at a meeting at which all shares entitled to vote thereon were present and voted and (b) shall be delivered to the Corporation at its registered office in the State of Delaware, at its principal place of business, to an officer or agent of the Corporation having custody of the minute books in which proceedings of meetings of stockholders are recorded or in any other manner permitted by law. Delivery shall be made by hand or by certified or registered mail, return receipt requested. No consent shall be effective to take corporate action unless consents signed by a sufficient number of holders to take such action are delivered to the Corporation in the manner described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within 60 days after the first date on which a consent is so delivered to the Corporation. Only stockholders on the Written Consent Record Date shall be entitled to consent to corporate action without a meeting.</w:t>
      </w:r>
    </w:p>
    <w:p>
      <w:pPr>
        <w:spacing w:after="0" w:line="186" w:lineRule="exact"/>
        <w:rPr>
          <w:sz w:val="20"/>
          <w:szCs w:val="20"/>
          <w:color w:val="auto"/>
        </w:rPr>
      </w:pPr>
    </w:p>
    <w:p>
      <w:pPr>
        <w:jc w:val="both"/>
        <w:ind w:firstLine="1016"/>
        <w:spacing w:after="0" w:line="253" w:lineRule="auto"/>
        <w:tabs>
          <w:tab w:leader="none" w:pos="12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any stockholder seeking to have the stockholders authorize or take any action by consent shall first request in writing that the Board fix a Written Consent Record Date for the purpose of determining the stockholders entitled to take such action, which request shall be in proper form and delivered to, or mailed and received by, the Secretary of the Corporation at the principal executive offices of the Corporation. Within ten (10) days after receipt of a request in proper form and otherwise in compliance with this </w:t>
      </w:r>
      <w:r>
        <w:rPr>
          <w:rFonts w:ascii="Times New Roman" w:cs="Times New Roman" w:eastAsia="Times New Roman" w:hAnsi="Times New Roman"/>
          <w:sz w:val="18"/>
          <w:szCs w:val="18"/>
          <w:u w:val="single" w:color="auto"/>
          <w:color w:val="auto"/>
        </w:rPr>
        <w:t>Section 2.8(ii)</w:t>
      </w:r>
      <w:r>
        <w:rPr>
          <w:rFonts w:ascii="Times New Roman" w:cs="Times New Roman" w:eastAsia="Times New Roman" w:hAnsi="Times New Roman"/>
          <w:sz w:val="18"/>
          <w:szCs w:val="18"/>
          <w:color w:val="auto"/>
        </w:rPr>
        <w:t xml:space="preserve"> from any such stockholder, the Board may adopt a resolution fixing a Written Consent Record Date for the purpose of determining the stockholders entitled to take such action, which date shall not be more than ten (10) days after the date upon which the resolution fixing the record date is adopted by the Board. If no resolution fixing a record date has been adopted by the Board within such ten (10) day period after the date on which such a request is received, (a) the Written Consent Record Date for determining stockholders entitled to consent to such action, when no prior action of the Board is required by applicable law, shall be the first date on which valid signed consents constituting applicable percentage of the outstanding shares of the Corporation and setting forth the action taken or proposed to be taken is delivered to the Corporation in the manner described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and (b) the Written Consent Record Date for determining stockholders entitled to consent to such action, when prior action by the Board is required by applicable law, shall be at the close of business on the date on which the Board adopts the resolution taking such prior action.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issued and outstanding and entitled to vote, present in person, or by remote communication, if applicable, or represented by proxy, shall constitute a quorum for the transaction of business at all meetings of the stockholders. Where a separate vote by class or series is required, the presence in person or by proxy of the holders of a majority in voting power of the outstanding shares of such class or series shall be necessary and sufficient to constitute a quorum with respect to that matter.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present in person, or by remote communication, if applicable, or represented by proxy, shall have power to recess the meeting or adjourn the meeting from time to time in the manner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 meeting is adjourned to another time or place, unless these bylaws otherwise require, notice need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entitled to vote at such meeting as of the record date so fixed for notice of such adjourned meeting.</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and time of the opening and the closing of the polls for each matter upon which the stockholders will vote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may be otherwise provided in the Certificate of Incorporation, these bylaws or the DGCL, each stockholder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one (1) vote for each share of capital stock held by such stockholder.</w:t>
      </w:r>
    </w:p>
    <w:p>
      <w:pPr>
        <w:spacing w:after="0" w:line="15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Unless a different or minimum vote is required by the Certificate of Incorporation, these bylaws, the rules or regulations of any stock exchange applicable to the Corporation, applicable law or pursuant to any regulation applicable to the Corporation or its securities pursuant to which the matter is being submitted to stockholders for approval, in which case such different or minimum vote shall be the required vote on such matter, each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9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w:t>
      </w:r>
    </w:p>
    <w:p>
      <w:pPr>
        <w:jc w:val="both"/>
        <w:ind w:firstLine="8"/>
        <w:spacing w:after="0" w:line="251" w:lineRule="auto"/>
        <w:tabs>
          <w:tab w:leader="none" w:pos="3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prepare, at least ten (10) days before every meeting of stockholders,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to vote in person or by proxy at any meeting of stockholders.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10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any meeting of stockholders, the Corporation shall appoint an inspector or inspectors of election to act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firstLine="1016"/>
        <w:spacing w:after="0" w:line="282" w:lineRule="auto"/>
        <w:tabs>
          <w:tab w:leader="none" w:pos="12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this ARTICLE II requires one or more persons (including a record or beneficial owner of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11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rights of the holders of any series of Preferred Stock, or any other series or class of stock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to elect directors (“</w:t>
      </w:r>
      <w:r>
        <w:rPr>
          <w:rFonts w:ascii="Times New Roman" w:cs="Times New Roman" w:eastAsia="Times New Roman" w:hAnsi="Times New Roman"/>
          <w:sz w:val="18"/>
          <w:szCs w:val="18"/>
          <w:b w:val="1"/>
          <w:bCs w:val="1"/>
          <w:i w:val="1"/>
          <w:iCs w:val="1"/>
          <w:color w:val="auto"/>
        </w:rPr>
        <w:t>Preferred Stock Directors</w:t>
      </w:r>
      <w:r>
        <w:rPr>
          <w:rFonts w:ascii="Times New Roman" w:cs="Times New Roman" w:eastAsia="Times New Roman" w:hAnsi="Times New Roman"/>
          <w:sz w:val="18"/>
          <w:szCs w:val="18"/>
          <w:color w:val="auto"/>
        </w:rPr>
        <w:t>”) under specified circumstances, and the Certificate of Incorporation, the number of directors shall be fixed from time to time exclusively pursuant to a resolution adopted by the Board of Directors, but shall consist of not less than one (1) nor more than fifteen (15) directors (exclusive of Preferred Stock Directors). No reduction of the authorized number of directors shall have the effect of removing any director before that director’s term of office expires. Except as to the rights of any preferred stock to appoint Preferred Stock Directors, the directors shall be elected by the vote of a plurality of the votes cast.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bylaws, and subject to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Any class shall consist, as nearly as possible, of one-third of the total number of directors constituting the entire Board. The Certificate of Incorporation or these bylaws may prescribe qualifications for directors.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may resign at any time upon notice given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Any director appointed in accordance with the preceding sentence shall hold office for the remainder of the term of the class, if any, to which the director is appointed and until such director’s successor shall have been elected and qualified.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hold meetings, both regular and special, either within or outside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video conferencing or other communications equipment by means of which all persons participating in the meeting can hear each other, and such participation in a meeting pursuant to this bylaw shall constitute presence in person at the meeting.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may be held within or outside the State of Delaware and at such time and at such place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for any purpose or purposes may be called at any time by the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Chief Executive Officer, the President, the Secretary or a majority of the total number of directors constituting the Board.</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12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240" w:hanging="224"/>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unless otherwise provided by the Certificate of Incorporation, a majority of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constitute a quorum for the transaction of business. The vote of a majority of the directors present at any meeting at which a quorum is present shall be the act of the Board, except as may be otherwise specifically provided by statute, applicable law, the rules and regulations for listed companies as in effect from time to time of the principal United States national securities exchange on which the capital stock of the Corporation is listed for trading, the Certificate of Incorporation or these bylaws. If a quorum is not present at any meeting of the Board, then the directors present thereat may postpone or adjourn the meeting from time to time, without notice other than announcement at the meeting, until a quorum is present.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restricted by the Certificate of Incorporation or these bylaws, the Board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authority to fix the compensation, including fees and reimbursement of expenses, of directors for services to the Corporation in any capacity.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designate one (1) or more committees, each committee to consist, of one (1)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13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u w:val="single" w:color="auto"/>
          <w:color w:val="auto"/>
        </w:rPr>
        <w:t xml:space="preserve">Committee Minutes. </w:t>
      </w: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and actions of committees shall be governed by, and held and taken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w:t>
      </w:r>
    </w:p>
    <w:p>
      <w:pPr>
        <w:spacing w:after="0" w:line="159" w:lineRule="exact"/>
        <w:rPr>
          <w:sz w:val="20"/>
          <w:szCs w:val="20"/>
          <w:color w:val="auto"/>
        </w:rPr>
      </w:pPr>
    </w:p>
    <w:p>
      <w:pPr>
        <w:ind w:left="1240" w:hanging="224"/>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meetings by telephone);</w:t>
      </w:r>
    </w:p>
    <w:p>
      <w:pPr>
        <w:spacing w:after="0" w:line="225"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225"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notice);</w:t>
      </w:r>
    </w:p>
    <w:p>
      <w:pPr>
        <w:spacing w:after="0" w:line="225"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(board action without a meeting); and</w:t>
      </w:r>
    </w:p>
    <w:p>
      <w:pPr>
        <w:spacing w:after="0" w:line="225"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40" w:hanging="224"/>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225" w:lineRule="exact"/>
        <w:rPr>
          <w:rFonts w:ascii="Times New Roman" w:cs="Times New Roman" w:eastAsia="Times New Roman" w:hAnsi="Times New Roman"/>
          <w:sz w:val="18"/>
          <w:szCs w:val="18"/>
          <w:color w:val="auto"/>
        </w:rPr>
      </w:pPr>
    </w:p>
    <w:p>
      <w:pPr>
        <w:ind w:firstLine="1016"/>
        <w:spacing w:after="0" w:line="282" w:lineRule="auto"/>
        <w:tabs>
          <w:tab w:leader="none" w:pos="1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adopt rules for the governance of any committee to override the provisions that would otherwise apply to the committee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rules do not violate the provisions of the Certificate of Incorporation or applicable law.</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At all meetings of committees, unless otherwise provided by the Certificate of Incorporation, a majority of the total number of the members of the committee shall constitute a quorum for the transaction of business. The vote of a majority of the directors present at any meeting at which a quorum is present shall be the act of the committee, except as may be otherwise specifically provided by statute, the Certificate of Incorporation or these bylaws. If a quorum is not present at any meeting of the committee, then the directors present thereat may adjourn the meeting from time to time, without notice other than announcement at the meeting, until a quorum is present.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in the Certificate of Incorporation, these bylaws or the resolutions of the Board designating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the charter of such committee adopted by the Board, a committee may create one (1) or more subcommittees, each subcommittee to consist of one (1) or more members of the committee, and delegate to a subcommittee any or all of the powers and authority of the committee.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include a Chief Executive Officer, a President and a Secretary. The Corporation may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at the discretion of the Board, a Chairperson of the Board, a Vice Chairperson of the Board,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14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Board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u w:val="single" w:color="auto"/>
          <w:color w:val="auto"/>
        </w:rPr>
        <w:t>Subordinate Officers.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u w:val="single" w:color="auto"/>
          <w:color w:val="auto"/>
        </w:rPr>
        <w:t>Removal and Resignation of Officers.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or as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u w:val="single" w:color="auto"/>
          <w:color w:val="auto"/>
        </w:rPr>
        <w:t>Representation of Shares of Other Corporations.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u w:val="single" w:color="auto"/>
          <w:color w:val="auto"/>
        </w:rPr>
        <w:t>Authority and Duties of Officers.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u w:val="single" w:color="auto"/>
          <w:color w:val="auto"/>
        </w:rPr>
        <w:t>Compensation.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15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0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8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u w:val="single" w:color="auto"/>
          <w:color w:val="auto"/>
        </w:rPr>
        <w:t>Execution of Corporate Contracts and Instruments.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All other contracts, agreements, certificates or instruments to be executed on behalf of the Corporation may be executed using a facsimile or other form of electronic signature to the fullest extent permitted by applicable law.</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u w:val="single" w:color="auto"/>
          <w:color w:val="auto"/>
        </w:rPr>
        <w:t>Stock Certificates.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or shall be uncertificated in the option of the officers of the Corporation authorizing the issuance of such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Chief Financial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16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u w:val="single" w:color="auto"/>
          <w:color w:val="auto"/>
        </w:rPr>
        <w:t>Shares Without Certificates.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use of such system by the Corporation is permitted in accordance with applicable law.</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u w:val="single" w:color="auto"/>
          <w:color w:val="auto"/>
        </w:rPr>
        <w:t>Construction; Definitions.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u w:val="single" w:color="auto"/>
          <w:color w:val="auto"/>
        </w:rPr>
        <w:t>Dividends.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17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u w:val="single" w:color="auto"/>
          <w:color w:val="auto"/>
        </w:rPr>
        <w:t>Seal.</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the charter of such committee adopted by the Board.</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7"/>
          <w:szCs w:val="17"/>
          <w:u w:val="single" w:color="auto"/>
          <w:color w:val="auto"/>
        </w:rPr>
        <w:t>Registered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firstLine="1016"/>
        <w:spacing w:after="0" w:line="282" w:lineRule="auto"/>
        <w:tabs>
          <w:tab w:leader="none" w:pos="1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firstLine="1016"/>
        <w:spacing w:after="0" w:line="282" w:lineRule="auto"/>
        <w:tabs>
          <w:tab w:leader="none" w:pos="1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7"/>
          <w:szCs w:val="17"/>
          <w:u w:val="single" w:color="auto"/>
          <w:color w:val="auto"/>
        </w:rPr>
        <w:t>Waiver of Notice.</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18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u w:val="single" w:color="auto"/>
          <w:color w:val="auto"/>
        </w:rPr>
        <w:t>Delivery of Notice; Notice by Electronic Transmission.</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without obtaining the consent required by this paragraph.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5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inadvertent failure to discover such inability shall not invalidate any meeting or other action.</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19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xml:space="preserve">”), including service with respect to employee benefit plans, against all liability and loss suffered and expenses (including attorneys’ fees, judgments, fines, and amounts paid in settlement, and excise taxes or penalties arising under the Employee Retirement Income Security Act of 1974, as amended) reasonably incurred by such person in connection with any such Proceeding. Notwithstanding the preceding sentence, except as otherwise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Corporation shall be required to indemnify a person in connection with a Proceeding initiated by such person only if the Proceeding was authorized in the specific case by the Board.</w:t>
      </w:r>
    </w:p>
    <w:p>
      <w:pPr>
        <w:spacing w:after="0" w:line="19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u w:val="single" w:color="auto"/>
          <w:color w:val="auto"/>
        </w:rPr>
        <w:t>Indemnification of Others.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u w:val="single" w:color="auto"/>
          <w:color w:val="auto"/>
        </w:rPr>
        <w:t>Prepayment of Expenses.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u w:val="single" w:color="auto"/>
          <w:color w:val="auto"/>
        </w:rPr>
        <w:t>Non-Exclusivity of Rights.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20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u w:val="single" w:color="auto"/>
          <w:color w:val="auto"/>
        </w:rPr>
        <w:t>Insurance.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u w:val="single" w:color="auto"/>
          <w:color w:val="auto"/>
        </w:rPr>
        <w:t>Other Indemnification.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u w:val="single" w:color="auto"/>
          <w:color w:val="auto"/>
        </w:rPr>
        <w:t>Continuation of Indemnification.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u w:val="single" w:color="auto"/>
          <w:color w:val="auto"/>
        </w:rPr>
        <w:t>Amendment or Repeal; Interpretation.</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the Chief Financial Officer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21 of 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Bylaws of Big Sky Industrial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ind w:left="51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Board is expressly empowered to adopt, amend or repeal the bylaws of the Corporation. The stockholders also shall have power to adopt, amend or repeal the bylaws of the Corporation by the affirmative vote of the holders of at least a majority of the voting power of all the then-outstanding shares of capital stock of the Corporation entitled to vote thereon.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Uniformity of Interpretation and Severability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u w:val="single" w:color="auto"/>
          <w:color w:val="auto"/>
        </w:rPr>
        <w:t>Interpretation and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shall be so interpreted and construed as to conform to the Certificate of Incorporation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statutes of Delaware or of any other state in which conformity may become necessary by reason of the qualification of the Corporation to do business in such foreign state, and where conflict between these Bylaws and the Certificate of Incorporation or a statute has arisen or shall arise, the Bylaws shall be considered to be modified to the extent, but only to the extent, conformity shall require. If any Bylaw provision or its application shall be deemed invalid by reason of the said nonconformity, the remainder of the Bylaws shall remain operable in that the provisions set forth in the Bylaws are severable.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Definitions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1" w:lineRule="exact"/>
        <w:rPr>
          <w:sz w:val="20"/>
          <w:szCs w:val="20"/>
          <w:color w:val="auto"/>
        </w:rPr>
      </w:pPr>
    </w:p>
    <w:p>
      <w:pPr>
        <w:jc w:val="both"/>
        <w:ind w:right="20" w:firstLine="450"/>
        <w:spacing w:after="0" w:line="268"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1"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1"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or electronic mail, that creates a record that may be retained, retrieved and reviewed by a recipient thereof, and that may be directly reproduced in paper form by such a recipient through an automated process.</w:t>
      </w:r>
    </w:p>
    <w:p>
      <w:pPr>
        <w:spacing w:after="0" w:line="176"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Nominating Agreement</w:t>
      </w:r>
      <w:r>
        <w:rPr>
          <w:rFonts w:ascii="Times New Roman" w:cs="Times New Roman" w:eastAsia="Times New Roman" w:hAnsi="Times New Roman"/>
          <w:sz w:val="18"/>
          <w:szCs w:val="18"/>
          <w:color w:val="auto"/>
        </w:rPr>
        <w:t>” means that Nominating and Voting Agreement dated January 5, 2022, by and between U.S. Energy Corp., Banner Oil &amp; Gas, LLC, Woodford Petroleum, LLC, Llano Energy LLC, Lubbock Energy Partners LLC and Synergy Offshore LLC, as amended from time to time.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Nominating Seller</w:t>
      </w:r>
      <w:r>
        <w:rPr>
          <w:rFonts w:ascii="Times New Roman" w:cs="Times New Roman" w:eastAsia="Times New Roman" w:hAnsi="Times New Roman"/>
          <w:sz w:val="18"/>
          <w:szCs w:val="18"/>
          <w:color w:val="auto"/>
        </w:rPr>
        <w:t>” means a Seller defined in the Nominating Agreement.</w:t>
      </w:r>
    </w:p>
    <w:p>
      <w:pPr>
        <w:spacing w:after="0" w:line="225"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Bylaws of Big Sky Industrial Inc.</w:t>
      </w:r>
    </w:p>
    <w:p>
      <w:pPr>
        <w:sectPr>
          <w:pgSz w:w="11900" w:h="16838" w:orient="portrait"/>
          <w:cols w:equalWidth="0" w:num="1">
            <w:col w:w="11240"/>
          </w:cols>
          <w:pgMar w:left="320" w:top="576" w:right="33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164465</wp:posOffset>
            </wp:positionV>
            <wp:extent cx="2657475" cy="771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74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Energy Corp. Announces Corporate Rebrand to Big Sky Industrial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Name Reflects Company Shift to Integrated Industrial Gas, Energy and Carbon Management Strategy</w:t>
      </w: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HOUSTON, TX., June 4, 2026 </w:t>
      </w:r>
      <w:r>
        <w:rPr>
          <w:rFonts w:ascii="Times New Roman" w:cs="Times New Roman" w:eastAsia="Times New Roman" w:hAnsi="Times New Roman"/>
          <w:sz w:val="18"/>
          <w:szCs w:val="18"/>
          <w:color w:val="auto"/>
        </w:rPr>
        <w:t>— U.S. Energy Corp. (NASDAQ: USEG) (“Big Sky Industrial” or the “Company”), an integrated industrial gas,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carbon management company, today announced the official change of its corporate name and Nasdaq ticker symbol, both effective June 8, 2026, to Big Sky Industrial Inc. (NASDAQ: BSIN). The change aligns the Company’s public market identity with its core operating strategy: the development and commercialization of helium and carbon management assets at its planned wholly owned and operated Big Sky Carbon Hub in Montana’s Kevin Dome region. Effective June 8, 2026, the Company’s new corporate website is </w:t>
      </w:r>
      <w:r>
        <w:rPr>
          <w:rFonts w:ascii="Times New Roman" w:cs="Times New Roman" w:eastAsia="Times New Roman" w:hAnsi="Times New Roman"/>
          <w:sz w:val="18"/>
          <w:szCs w:val="18"/>
          <w:u w:val="single" w:color="auto"/>
          <w:color w:val="auto"/>
        </w:rPr>
        <w:t>www.bigskyindustrialinc.com</w:t>
      </w:r>
      <w:r>
        <w:rPr>
          <w:rFonts w:ascii="Times New Roman" w:cs="Times New Roman" w:eastAsia="Times New Roman" w:hAnsi="Times New Roman"/>
          <w:sz w:val="18"/>
          <w:szCs w:val="18"/>
          <w:color w:val="auto"/>
        </w:rPr>
        <w:t xml:space="preserve"> and its CUSIP number remains unchanged at 911805307.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“Big Sky Industrial is an industrial gas and carbon management company, and as of today our name says exactly that," said Ryan Smith, President and Chief Executive Officer of Big Sky Industrial. "We are on our way to being an industrial gas producer with contracted cash flow, a carbon management business with meaningful Section 45Q tax credit value, and a low-decline oil operation integrated into our platform as a captive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outlet. Over the past 18 months we have divested non-core oil and gas assets and redirected the proceeds into the largest organic development project in our history: the Big Sky Carbon Hub. We have reached Final Investment Decision on the processing facility, completed our Phase 1 capital stack, and signed a five-year, 100 percent take-or-pay helium offtake agreement with an investment-grade global industrial gas counterparty. The name makes that identity clear to investors, customers, and partners.”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Smith continued, “Helium is a federally designated critical mineral with no viable substitute across its most important end markets — semiconductors, medical imaging, rocket propulsion, quantum computing, and fiber optic infrastructure. Global supply is structurally constrained and concentrated in regions with meaningful geopolitical risk. Big Sky Carbon Hub is being built to provide reliable, contracted domestic supply of this critical industrial gas. Our new name reflects that mission and positions us accurately within the global industrial gas and critical minerals value chain.”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 AND TICKER CHANGE DETAILS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Former Corporate Name:</w:t>
            </w:r>
          </w:p>
        </w:tc>
        <w:tc>
          <w:tcPr>
            <w:tcW w:w="5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Energy Corp.</w:t>
            </w:r>
          </w:p>
        </w:tc>
        <w:tc>
          <w:tcPr>
            <w:tcW w:w="2240" w:type="dxa"/>
            <w:vAlign w:val="bottom"/>
          </w:tcPr>
          <w:p>
            <w:pPr>
              <w:spacing w:after="0"/>
              <w:rPr>
                <w:sz w:val="23"/>
                <w:szCs w:val="23"/>
                <w:color w:val="auto"/>
              </w:rPr>
            </w:pPr>
          </w:p>
        </w:tc>
      </w:tr>
      <w:tr>
        <w:trPr>
          <w:trHeight w:val="37"/>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99"/>
        </w:trPr>
        <w:tc>
          <w:tcPr>
            <w:tcW w:w="3100" w:type="dxa"/>
            <w:vAlign w:val="bottom"/>
            <w:tcBorders>
              <w:left w:val="single" w:sz="8" w:color="auto"/>
              <w:bottom w:val="single" w:sz="8" w:color="E6E6E6"/>
              <w:right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New Corporate Name:</w:t>
            </w:r>
          </w:p>
        </w:tc>
        <w:tc>
          <w:tcPr>
            <w:tcW w:w="5900" w:type="dxa"/>
            <w:vAlign w:val="bottom"/>
            <w:tcBorders>
              <w:bottom w:val="single" w:sz="8" w:color="E6E6E6"/>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Big Sky Industrial Inc.</w:t>
            </w:r>
          </w:p>
        </w:tc>
        <w:tc>
          <w:tcPr>
            <w:tcW w:w="2240" w:type="dxa"/>
            <w:vAlign w:val="bottom"/>
          </w:tcPr>
          <w:p>
            <w:pPr>
              <w:spacing w:after="0"/>
              <w:rPr>
                <w:sz w:val="24"/>
                <w:szCs w:val="24"/>
                <w:color w:val="auto"/>
              </w:rPr>
            </w:pPr>
          </w:p>
        </w:tc>
      </w:tr>
      <w:tr>
        <w:trPr>
          <w:trHeight w:val="250"/>
        </w:trPr>
        <w:tc>
          <w:tcPr>
            <w:tcW w:w="3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Former Ticker Symbol:</w:t>
            </w:r>
          </w:p>
        </w:tc>
        <w:tc>
          <w:tcPr>
            <w:tcW w:w="5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USEG</w:t>
            </w:r>
          </w:p>
        </w:tc>
        <w:tc>
          <w:tcPr>
            <w:tcW w:w="2240" w:type="dxa"/>
            <w:vAlign w:val="bottom"/>
          </w:tcPr>
          <w:p>
            <w:pPr>
              <w:spacing w:after="0"/>
              <w:rPr>
                <w:sz w:val="21"/>
                <w:szCs w:val="21"/>
                <w:color w:val="auto"/>
              </w:rPr>
            </w:pPr>
          </w:p>
        </w:tc>
      </w:tr>
      <w:tr>
        <w:trPr>
          <w:trHeight w:val="40"/>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95"/>
        </w:trPr>
        <w:tc>
          <w:tcPr>
            <w:tcW w:w="3100" w:type="dxa"/>
            <w:vAlign w:val="bottom"/>
            <w:tcBorders>
              <w:left w:val="single" w:sz="8" w:color="auto"/>
              <w:bottom w:val="single" w:sz="8" w:color="E6E6E6"/>
              <w:right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New Ticker Symbol:</w:t>
            </w:r>
          </w:p>
        </w:tc>
        <w:tc>
          <w:tcPr>
            <w:tcW w:w="5900" w:type="dxa"/>
            <w:vAlign w:val="bottom"/>
            <w:tcBorders>
              <w:bottom w:val="single" w:sz="8" w:color="E6E6E6"/>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BSIN</w:t>
            </w:r>
          </w:p>
        </w:tc>
        <w:tc>
          <w:tcPr>
            <w:tcW w:w="2240" w:type="dxa"/>
            <w:vAlign w:val="bottom"/>
          </w:tcPr>
          <w:p>
            <w:pPr>
              <w:spacing w:after="0"/>
              <w:rPr>
                <w:sz w:val="24"/>
                <w:szCs w:val="24"/>
                <w:color w:val="auto"/>
              </w:rPr>
            </w:pPr>
          </w:p>
        </w:tc>
      </w:tr>
      <w:tr>
        <w:trPr>
          <w:trHeight w:val="250"/>
        </w:trPr>
        <w:tc>
          <w:tcPr>
            <w:tcW w:w="3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5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c>
          <w:tcPr>
            <w:tcW w:w="2240" w:type="dxa"/>
            <w:vAlign w:val="bottom"/>
          </w:tcPr>
          <w:p>
            <w:pPr>
              <w:spacing w:after="0"/>
              <w:rPr>
                <w:sz w:val="21"/>
                <w:szCs w:val="21"/>
                <w:color w:val="auto"/>
              </w:rPr>
            </w:pPr>
          </w:p>
        </w:tc>
      </w:tr>
      <w:tr>
        <w:trPr>
          <w:trHeight w:val="40"/>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95"/>
        </w:trPr>
        <w:tc>
          <w:tcPr>
            <w:tcW w:w="3100" w:type="dxa"/>
            <w:vAlign w:val="bottom"/>
            <w:tcBorders>
              <w:left w:val="single" w:sz="8" w:color="auto"/>
              <w:bottom w:val="single" w:sz="8" w:color="E6E6E6"/>
              <w:right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5900" w:type="dxa"/>
            <w:vAlign w:val="bottom"/>
            <w:tcBorders>
              <w:bottom w:val="single" w:sz="8" w:color="E6E6E6"/>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June 8, 2026</w:t>
            </w:r>
          </w:p>
        </w:tc>
        <w:tc>
          <w:tcPr>
            <w:tcW w:w="2240" w:type="dxa"/>
            <w:vAlign w:val="bottom"/>
          </w:tcPr>
          <w:p>
            <w:pPr>
              <w:spacing w:after="0"/>
              <w:rPr>
                <w:sz w:val="24"/>
                <w:szCs w:val="24"/>
                <w:color w:val="auto"/>
              </w:rPr>
            </w:pPr>
          </w:p>
        </w:tc>
      </w:tr>
      <w:tr>
        <w:trPr>
          <w:trHeight w:val="568"/>
        </w:trPr>
        <w:tc>
          <w:tcPr>
            <w:tcW w:w="3100" w:type="dxa"/>
            <w:vAlign w:val="bottom"/>
            <w:tcBorders>
              <w:top w:val="single" w:sz="8" w:color="auto"/>
              <w:bottom w:val="single" w:sz="8" w:color="auto"/>
            </w:tcBorders>
          </w:tcPr>
          <w:p>
            <w:pPr>
              <w:spacing w:after="0"/>
              <w:rPr>
                <w:sz w:val="24"/>
                <w:szCs w:val="24"/>
                <w:color w:val="auto"/>
              </w:rPr>
            </w:pPr>
          </w:p>
        </w:tc>
        <w:tc>
          <w:tcPr>
            <w:tcW w:w="590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New Website:</w:t>
            </w:r>
          </w:p>
        </w:tc>
        <w:tc>
          <w:tcPr>
            <w:tcW w:w="5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www.bigskyindustrialinc.com</w:t>
            </w:r>
          </w:p>
        </w:tc>
      </w:tr>
      <w:tr>
        <w:trPr>
          <w:trHeight w:val="37"/>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r>
      <w:tr>
        <w:trPr>
          <w:trHeight w:val="299"/>
        </w:trPr>
        <w:tc>
          <w:tcPr>
            <w:tcW w:w="3100" w:type="dxa"/>
            <w:vAlign w:val="bottom"/>
            <w:tcBorders>
              <w:left w:val="single" w:sz="8" w:color="auto"/>
              <w:bottom w:val="single" w:sz="8" w:color="E6E6E6"/>
              <w:right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5900" w:type="dxa"/>
            <w:vAlign w:val="bottom"/>
            <w:tcBorders>
              <w:bottom w:val="single" w:sz="8" w:color="E6E6E6"/>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911805307 (unchanged)</w:t>
            </w:r>
          </w:p>
        </w:tc>
      </w:tr>
      <w:tr>
        <w:trPr>
          <w:trHeight w:val="250"/>
        </w:trPr>
        <w:tc>
          <w:tcPr>
            <w:tcW w:w="3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5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Computershare</w:t>
            </w:r>
          </w:p>
        </w:tc>
      </w:tr>
      <w:tr>
        <w:trPr>
          <w:trHeight w:val="41"/>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action is required by existing shareholders in connection with the name change. All existing shares of common stock will automatically represent shares of Big Sky Industrial Inc. and are expected to begin trading under the new ticker symbol BSIN on June 8, 2026. The number of authorized shares, shares outstanding, par value, and all other terms of the common stock remain unchanged.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BIG SKY INDUSTRIAL INC.</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Big Sky Industrial Inc. (NASDAQ: BSIN), formerly U.S. Energy Corp. (NASDAQ: USEG), is a Houston-based industrial gas, carbon management, and energy company with operations focused on the Big Sky Carbon Hub and Cut Bank oil field in Montana’s Kevin Dome region. The Company’s asset base supports three distinct business lines: helium production, carbon management, and low-decline oil production. Big Sky Industrial is focused on developing an integrated platform that leverages helium as a federally designated critical mineral, carbon management opportunities supported by Section 45Q federal tax credits, and conventional oil production from its owned and operated assets. The Company’s operations are designed to generate revenue from multiple independent sources across helium, carbon management, and oil. For more information, please visit </w:t>
      </w:r>
      <w:r>
        <w:rPr>
          <w:rFonts w:ascii="Times New Roman" w:cs="Times New Roman" w:eastAsia="Times New Roman" w:hAnsi="Times New Roman"/>
          <w:sz w:val="18"/>
          <w:szCs w:val="18"/>
          <w:u w:val="single" w:color="auto"/>
          <w:color w:val="auto"/>
        </w:rPr>
        <w:t>www.bigskyindustrialinc.com</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156845</wp:posOffset>
            </wp:positionV>
            <wp:extent cx="34290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274320"/>
                    </a:xfrm>
                    <a:prstGeom prst="rect">
                      <a:avLst/>
                    </a:prstGeom>
                    <a:noFill/>
                  </pic:spPr>
                </pic:pic>
              </a:graphicData>
            </a:graphic>
          </wp:anchor>
        </w:drawing>
      </w: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media@bigskyindustrialinc.com</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x.jpg @BSIN_IR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360045"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045" cy="44577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Big Sky Industrial Inc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Mason McGuire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IR@bigskyindustrialinc.com</w:t>
      </w:r>
    </w:p>
    <w:p>
      <w:pPr>
        <w:spacing w:after="0" w:line="9" w:lineRule="exact"/>
        <w:rPr>
          <w:sz w:val="20"/>
          <w:szCs w:val="20"/>
          <w:color w:val="auto"/>
        </w:rPr>
      </w:pPr>
    </w:p>
    <w:p>
      <w:pPr>
        <w:ind w:right="9080" w:firstLine="8"/>
        <w:spacing w:after="0" w:line="290" w:lineRule="auto"/>
        <w:tabs>
          <w:tab w:leader="none" w:pos="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993-3200 www.bigskyindustrialinc.com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1500505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054100" cy="1028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100" cy="102870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matters discussed in this communication which are not statements of historical fact constitute forward-looking statements within the meaning of the federal securities laws, including the Private Securities Litigation Reform Act of 1995, that involve a number of risks and uncertainties. Words such as “strategy,” “expects,” “continues,” “plans,” “anticipates,” “believes,” “would,” “will,” “estimates,” “intends,” “projects,” “goals,” “targets” and other words of similar meaning are intended to identify forward-looking statements but are not the exclusive means of identifying these statements.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may cause actual results and outcomes to differ materially from those contained in such forward-looking statements include, without limitation, risks relating to: the Company’s ability to complete construction of the Big Sky Carbon Hub on time and on budget; the Company’s ability to comply with the terms of its senior credit facilities; the Company’s access to capital on acceptable terms and potential dilution caused thereby; the volatility of commodity prices, including helium, oil and natural gas; the Company’s success in discovering, estimating, developing and replacing reserves; risks related to the status and availability of gathering, transportation, processing, and storage facilities; risks relating to regulatory changes, including those related to the Section 45Q tax credit, carbon dioxide and greenhouse gas emissions; the business, economic and political conditions in the markets in which the Company operates; actions of competitors or regulators; inflationary risks and changes in interest rates; the potential disruption or interruption of the Company’s operations due to war, accidents, political events, severe weather, cyber threats, terrorist acts, or other natural or human causes beyond the Company’s control; and other risk factors included from time to time in documents the Company files with the Securities and Exchange Commission, including, but not limited to, its Form 10-Ks, Form 10-Qs and Form 8-Ks. These reports and filings are available at www.sec.gov.</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cautions that the foregoing list of important factors is not complete and does not undertake to update any forward-looking statements except as required by applicable law. All subsequent written and oral forward-looking statements attributable to the Company or any person acting on behalf of the Company are expressly qualified in their entirety by the cautionary statements referenced above. The forward-looking statements included in this communication are made only as of the date hereof. The Company cannot guarantee future results, levels of activity, performance or achievements. Accordingly, you should not place undue reliance on these forward-looking statements. The Company undertakes no obligation to update these statements after the date of this release, except as required by law.</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Roman"/>
      <w:start w:val="2"/>
    </w:lvl>
    <w:lvl w:ilvl="1">
      <w:lvlJc w:val="left"/>
      <w:lvlText w:val="(%2)"/>
      <w:numFmt w:val="lowerLetter"/>
      <w:start w:val="1"/>
    </w:lvl>
  </w:abstractNum>
  <w:abstractNum w:abstractNumId="2">
    <w:nsid w:val="1F16E9E8"/>
    <w:multiLevelType w:val="hybridMultilevel"/>
    <w:lvl w:ilvl="0">
      <w:lvlJc w:val="left"/>
      <w:lvlText w:val="%1"/>
      <w:numFmt w:val="decimal"/>
      <w:start w:val="1"/>
    </w:lvl>
    <w:lvl w:ilvl="1">
      <w:lvlJc w:val="left"/>
      <w:lvlText w:val="(%2)"/>
      <w:numFmt w:val="lowerLetter"/>
      <w:start w:val="2"/>
    </w:lvl>
  </w:abstractNum>
  <w:abstractNum w:abstractNumId="3">
    <w:nsid w:val="1190CDE7"/>
    <w:multiLevelType w:val="hybridMultilevel"/>
    <w:lvl w:ilvl="0">
      <w:lvlJc w:val="left"/>
      <w:lvlText w:val="(%1)"/>
      <w:numFmt w:val="decimal"/>
      <w:start w:val="1"/>
    </w:lvl>
    <w:lvl w:ilvl="1">
      <w:lvlJc w:val="left"/>
      <w:lvlText w:val="(%2)"/>
      <w:numFmt w:val="lowerLetter"/>
      <w:start w:val="3"/>
    </w:lvl>
  </w:abstractNum>
  <w:abstractNum w:abstractNumId="4">
    <w:nsid w:val="66EF438D"/>
    <w:multiLevelType w:val="hybridMultilevel"/>
    <w:lvl w:ilvl="0">
      <w:lvlJc w:val="left"/>
      <w:lvlText w:val="(%1)"/>
      <w:numFmt w:val="lowerRoman"/>
      <w:start w:val="4"/>
    </w:lvl>
  </w:abstractNum>
  <w:abstractNum w:abstractNumId="5">
    <w:nsid w:val="140E0F76"/>
    <w:multiLevelType w:val="hybridMultilevel"/>
    <w:lvl w:ilvl="0">
      <w:lvlJc w:val="left"/>
      <w:lvlText w:val="(%1)"/>
      <w:numFmt w:val="lowerRoman"/>
      <w:start w:val="2"/>
    </w:lvl>
    <w:lvl w:ilvl="1">
      <w:lvlJc w:val="left"/>
      <w:lvlText w:val="(%2)"/>
      <w:numFmt w:val="lowerLetter"/>
      <w:start w:val="1"/>
    </w:lvl>
  </w:abstractNum>
  <w:abstractNum w:abstractNumId="6">
    <w:nsid w:val="3352255A"/>
    <w:multiLevelType w:val="hybridMultilevel"/>
    <w:lvl w:ilvl="0">
      <w:lvlJc w:val="left"/>
      <w:lvlText w:val="(%1)"/>
      <w:numFmt w:val="lowerRoman"/>
      <w:start w:val="6"/>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
    </w:lvl>
    <w:lvl w:ilvl="1">
      <w:lvlJc w:val="left"/>
      <w:lvlText w:val="(%2)"/>
      <w:numFmt w:val="lowerRoman"/>
      <w:start w:val="2"/>
    </w:lvl>
  </w:abstractNum>
  <w:abstractNum w:abstractNumId="9">
    <w:nsid w:val="7FDCC233"/>
    <w:multiLevelType w:val="hybridMultilevel"/>
    <w:lvl w:ilvl="0">
      <w:lvlJc w:val="left"/>
      <w:lvlText w:val="(%1)"/>
      <w:numFmt w:val="decimal"/>
      <w:start w:val="8"/>
    </w:lvl>
    <w:lvl w:ilvl="1">
      <w:lvlJc w:val="left"/>
      <w:lvlText w:val="(%2)"/>
      <w:numFmt w:val="lowerRoman"/>
      <w:start w:val="4"/>
    </w:lvl>
  </w:abstractNum>
  <w:abstractNum w:abstractNumId="10">
    <w:nsid w:val="1BEFD79F"/>
    <w:multiLevelType w:val="hybridMultilevel"/>
    <w:lvl w:ilvl="0">
      <w:lvlJc w:val="left"/>
      <w:lvlText w:val="(%1)"/>
      <w:numFmt w:val="lowerRoman"/>
      <w:start w:val="2"/>
    </w:lvl>
  </w:abstractNum>
  <w:abstractNum w:abstractNumId="11">
    <w:nsid w:val="41A7C4C9"/>
    <w:multiLevelType w:val="hybridMultilevel"/>
    <w:lvl w:ilvl="0">
      <w:lvlJc w:val="left"/>
      <w:lvlText w:val="(%1)"/>
      <w:numFmt w:val="decimal"/>
      <w:start w:val="60"/>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decimal"/>
      <w:start w:val="3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2026-06-04T06:03:15Z</dcterms:created>
  <dcterms:modified xsi:type="dcterms:W3CDTF">2026-06-04T06:03:15Z</dcterms:modified>
</cp:coreProperties>
</file>