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bookmarkStart w:id="0" w:name="useg20250930_10q.htm"/>
      <w:bookmarkStart w:id="1" w:name="ksuseg20250930_10q"/>
      <w:bookmarkEnd w:id="0"/>
      <w:bookmarkEnd w:id="1"/>
      <w:r>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pPr>
      <w:hyperlink w:anchor="toc">
        <w:r>
          <w:rPr>
            <w:rStyle w:val="InternetLink"/>
            <w:rFonts w:ascii="Times New Roman" w:hAnsi="Times New Roman"/>
            <w:caps w:val="false"/>
            <w:smallCaps w:val="false"/>
            <w:sz w:val="20"/>
          </w:rPr>
          <w:t>Table of Contents</w:t>
        </w:r>
      </w:hyperlink>
    </w:p>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36"/>
        </w:rPr>
      </w:pPr>
      <w:r>
        <w:rPr>
          <w:rFonts w:ascii="Times New Roman" w:hAnsi="Times New Roman"/>
          <w:b/>
          <w:caps w:val="false"/>
          <w:smallCaps w:val="false"/>
          <w:sz w:val="36"/>
        </w:rPr>
        <w:t>UNITED STATES</w:t>
      </w:r>
    </w:p>
    <w:p>
      <w:pPr>
        <w:pStyle w:val="TextBody"/>
        <w:bidi w:val="0"/>
        <w:spacing w:before="0" w:after="0"/>
        <w:ind w:left="0" w:right="0" w:hanging="0"/>
        <w:jc w:val="center"/>
        <w:rPr>
          <w:rFonts w:ascii="Times New Roman" w:hAnsi="Times New Roman"/>
          <w:b/>
          <w:caps w:val="false"/>
          <w:smallCaps w:val="false"/>
          <w:sz w:val="36"/>
        </w:rPr>
      </w:pPr>
      <w:r>
        <w:rPr>
          <w:rFonts w:ascii="Times New Roman" w:hAnsi="Times New Roman"/>
          <w:b/>
          <w:caps w:val="false"/>
          <w:smallCaps w:val="false"/>
          <w:sz w:val="36"/>
        </w:rPr>
        <w:t>SECURITIES AND EXCHANGE COMMISSION</w:t>
      </w:r>
    </w:p>
    <w:p>
      <w:pPr>
        <w:pStyle w:val="TextBody"/>
        <w:bidi w:val="0"/>
        <w:spacing w:before="0" w:after="0"/>
        <w:ind w:left="0" w:right="0" w:hanging="0"/>
        <w:jc w:val="center"/>
        <w:rPr>
          <w:rFonts w:ascii="Times New Roman" w:hAnsi="Times New Roman"/>
          <w:b/>
          <w:caps w:val="false"/>
          <w:smallCaps w:val="false"/>
          <w:sz w:val="24"/>
        </w:rPr>
      </w:pPr>
      <w:r>
        <w:rPr>
          <w:rFonts w:ascii="Times New Roman" w:hAnsi="Times New Roman"/>
          <w:b/>
          <w:caps w:val="false"/>
          <w:smallCaps w:val="false"/>
          <w:sz w:val="24"/>
        </w:rPr>
        <w:t>Washington, D.C. 20549</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36"/>
        </w:rPr>
      </w:pPr>
      <w:r>
        <w:rPr>
          <w:rFonts w:ascii="Times New Roman" w:hAnsi="Times New Roman"/>
          <w:b/>
          <w:caps w:val="false"/>
          <w:smallCaps w:val="false"/>
          <w:sz w:val="36"/>
        </w:rPr>
        <w:t>FORM 10-Q</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(Mark One)</w:t>
      </w:r>
    </w:p>
    <w:tbl>
      <w:tblPr>
        <w:tblW w:w="9625" w:type="dxa"/>
        <w:jc w:val="left"/>
        <w:tblInd w:w="0" w:type="dxa"/>
        <w:tblLayout w:type="fixed"/>
        <w:tblCellMar>
          <w:top w:w="0" w:type="dxa"/>
          <w:left w:w="0" w:type="dxa"/>
          <w:bottom w:w="0" w:type="dxa"/>
          <w:right w:w="0" w:type="dxa"/>
        </w:tblCellMar>
      </w:tblPr>
      <w:tblGrid>
        <w:gridCol w:w="230"/>
        <w:gridCol w:w="9395"/>
      </w:tblGrid>
      <w:tr>
        <w:trPr/>
        <w:tc>
          <w:tcPr>
            <w:tcW w:w="23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39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QUARTERLY REPORT PURSUANT TO SECTION 13 OR 15(D) OF THE SECURITIES EXCHANGE ACT OF 1934</w:t>
            </w:r>
          </w:p>
        </w:tc>
      </w:tr>
      <w:tr>
        <w:trPr/>
        <w:tc>
          <w:tcPr>
            <w:tcW w:w="230" w:type="dxa"/>
            <w:tcBorders/>
            <w:vAlign w:val="center"/>
          </w:tcPr>
          <w:p>
            <w:pPr>
              <w:pStyle w:val="TableContents"/>
              <w:bidi w:val="0"/>
              <w:spacing w:before="0" w:after="283"/>
              <w:jc w:val="left"/>
              <w:rPr/>
            </w:pPr>
            <w:r>
              <w:rPr/>
              <w:t> </w:t>
            </w:r>
          </w:p>
        </w:tc>
        <w:tc>
          <w:tcPr>
            <w:tcW w:w="9395" w:type="dxa"/>
            <w:tcBorders/>
            <w:vAlign w:val="center"/>
          </w:tcPr>
          <w:p>
            <w:pPr>
              <w:pStyle w:val="TableContents"/>
              <w:bidi w:val="0"/>
              <w:spacing w:before="0" w:after="283"/>
              <w:jc w:val="left"/>
              <w:rPr/>
            </w:pPr>
            <w:r>
              <w:rPr/>
              <w:t> </w:t>
            </w:r>
          </w:p>
        </w:tc>
      </w:tr>
      <w:tr>
        <w:trPr/>
        <w:tc>
          <w:tcPr>
            <w:tcW w:w="230" w:type="dxa"/>
            <w:tcBorders/>
            <w:vAlign w:val="center"/>
          </w:tcPr>
          <w:p>
            <w:pPr>
              <w:pStyle w:val="TableContents"/>
              <w:bidi w:val="0"/>
              <w:spacing w:before="0" w:after="283"/>
              <w:jc w:val="left"/>
              <w:rPr/>
            </w:pPr>
            <w:r>
              <w:rPr/>
              <w:t> </w:t>
            </w:r>
          </w:p>
        </w:tc>
        <w:tc>
          <w:tcPr>
            <w:tcW w:w="9395" w:type="dxa"/>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For the Quarterly Period Ended September 30, 2025</w:t>
            </w:r>
          </w:p>
        </w:tc>
      </w:tr>
      <w:tr>
        <w:trPr/>
        <w:tc>
          <w:tcPr>
            <w:tcW w:w="230" w:type="dxa"/>
            <w:tcBorders/>
            <w:vAlign w:val="center"/>
          </w:tcPr>
          <w:p>
            <w:pPr>
              <w:pStyle w:val="TableContents"/>
              <w:bidi w:val="0"/>
              <w:spacing w:before="0" w:after="283"/>
              <w:jc w:val="left"/>
              <w:rPr/>
            </w:pPr>
            <w:r>
              <w:rPr/>
              <w:t> </w:t>
            </w:r>
          </w:p>
        </w:tc>
        <w:tc>
          <w:tcPr>
            <w:tcW w:w="9395" w:type="dxa"/>
            <w:tcBorders/>
            <w:vAlign w:val="center"/>
          </w:tcPr>
          <w:p>
            <w:pPr>
              <w:pStyle w:val="TableContents"/>
              <w:bidi w:val="0"/>
              <w:spacing w:before="0" w:after="283"/>
              <w:jc w:val="left"/>
              <w:rPr/>
            </w:pPr>
            <w:r>
              <w:rPr/>
              <w:t> </w:t>
            </w:r>
          </w:p>
        </w:tc>
      </w:tr>
      <w:tr>
        <w:trPr/>
        <w:tc>
          <w:tcPr>
            <w:tcW w:w="9625" w:type="dxa"/>
            <w:gridSpan w:val="2"/>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or</w:t>
            </w:r>
          </w:p>
        </w:tc>
      </w:tr>
      <w:tr>
        <w:trPr/>
        <w:tc>
          <w:tcPr>
            <w:tcW w:w="230" w:type="dxa"/>
            <w:tcBorders/>
            <w:vAlign w:val="center"/>
          </w:tcPr>
          <w:p>
            <w:pPr>
              <w:pStyle w:val="TableContents"/>
              <w:bidi w:val="0"/>
              <w:spacing w:before="0" w:after="283"/>
              <w:jc w:val="left"/>
              <w:rPr/>
            </w:pPr>
            <w:r>
              <w:rPr/>
              <w:t> </w:t>
            </w:r>
          </w:p>
        </w:tc>
        <w:tc>
          <w:tcPr>
            <w:tcW w:w="9395" w:type="dxa"/>
            <w:tcBorders/>
            <w:vAlign w:val="center"/>
          </w:tcPr>
          <w:p>
            <w:pPr>
              <w:pStyle w:val="TableContents"/>
              <w:bidi w:val="0"/>
              <w:spacing w:before="0" w:after="283"/>
              <w:jc w:val="left"/>
              <w:rPr/>
            </w:pPr>
            <w:r>
              <w:rPr/>
              <w:t> </w:t>
            </w:r>
          </w:p>
        </w:tc>
      </w:tr>
      <w:tr>
        <w:trPr/>
        <w:tc>
          <w:tcPr>
            <w:tcW w:w="23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39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TRANSITION REPORT PURSUANT TO SECTION 13 OR 15(D) OF THE SECURITIES EXCHANGE ACT OF 1934</w:t>
            </w:r>
          </w:p>
        </w:tc>
      </w:tr>
      <w:tr>
        <w:trPr/>
        <w:tc>
          <w:tcPr>
            <w:tcW w:w="230" w:type="dxa"/>
            <w:tcBorders/>
            <w:vAlign w:val="center"/>
          </w:tcPr>
          <w:p>
            <w:pPr>
              <w:pStyle w:val="TableContents"/>
              <w:bidi w:val="0"/>
              <w:spacing w:before="0" w:after="283"/>
              <w:jc w:val="left"/>
              <w:rPr/>
            </w:pPr>
            <w:r>
              <w:rPr/>
              <w:t> </w:t>
            </w:r>
          </w:p>
        </w:tc>
        <w:tc>
          <w:tcPr>
            <w:tcW w:w="9395" w:type="dxa"/>
            <w:tcBorders/>
            <w:vAlign w:val="center"/>
          </w:tcPr>
          <w:p>
            <w:pPr>
              <w:pStyle w:val="TableContents"/>
              <w:bidi w:val="0"/>
              <w:spacing w:before="0" w:after="283"/>
              <w:jc w:val="left"/>
              <w:rPr/>
            </w:pPr>
            <w:r>
              <w:rPr/>
              <w:t> </w:t>
            </w:r>
          </w:p>
        </w:tc>
      </w:tr>
      <w:tr>
        <w:trPr/>
        <w:tc>
          <w:tcPr>
            <w:tcW w:w="230" w:type="dxa"/>
            <w:tcBorders/>
            <w:vAlign w:val="center"/>
          </w:tcPr>
          <w:p>
            <w:pPr>
              <w:pStyle w:val="TableContents"/>
              <w:bidi w:val="0"/>
              <w:spacing w:before="0" w:after="283"/>
              <w:jc w:val="left"/>
              <w:rPr/>
            </w:pPr>
            <w:r>
              <w:rPr/>
              <w:t> </w:t>
            </w:r>
          </w:p>
        </w:tc>
        <w:tc>
          <w:tcPr>
            <w:tcW w:w="9395" w:type="dxa"/>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For the transition period from _____________ to _____________________</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 xml:space="preserve">Commission File Number </w:t>
      </w:r>
      <w:r>
        <w:rPr>
          <w:rFonts w:ascii="Times New Roman" w:hAnsi="Times New Roman"/>
          <w:b/>
          <w:caps w:val="false"/>
          <w:smallCaps w:val="false"/>
          <w:sz w:val="20"/>
        </w:rPr>
        <w:t>000-06814</w:t>
      </w:r>
    </w:p>
    <w:p>
      <w:pPr>
        <w:pStyle w:val="TextBody"/>
        <w:bidi w:val="0"/>
        <w:spacing w:before="0" w:after="0"/>
        <w:ind w:left="0" w:right="0" w:hanging="0"/>
        <w:jc w:val="center"/>
        <w:rPr>
          <w:caps w:val="false"/>
          <w:smallCaps w:val="false"/>
        </w:rPr>
      </w:pPr>
      <w:r>
        <w:rPr>
          <w:caps w:val="false"/>
          <w:smallCaps w:val="false"/>
        </w:rPr>
        <w:t> </w:t>
      </w:r>
    </w:p>
    <w:p>
      <w:pPr>
        <w:pStyle w:val="TextBody"/>
        <w:bidi w:val="0"/>
        <w:jc w:val="center"/>
        <w:rPr/>
      </w:pPr>
      <w:r>
        <w:rPr/>
        <w:drawing>
          <wp:inline distT="0" distB="0" distL="0" distR="0">
            <wp:extent cx="4470400" cy="142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4470400" cy="1422400"/>
                    </a:xfrm>
                    <a:prstGeom prst="rect">
                      <a:avLst/>
                    </a:prstGeom>
                  </pic:spPr>
                </pic:pic>
              </a:graphicData>
            </a:graphic>
          </wp:inline>
        </w:drawing>
      </w:r>
      <w:r>
        <w:rPr/>
        <w:t xml:space="preserve">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(Exact Name of Registrant as Specified in its Charter)</w:t>
      </w:r>
    </w:p>
    <w:p>
      <w:pPr>
        <w:pStyle w:val="TextBody"/>
        <w:bidi w:val="0"/>
        <w:spacing w:before="0" w:after="0"/>
        <w:ind w:left="0" w:right="0" w:hanging="0"/>
        <w:jc w:val="left"/>
        <w:rPr>
          <w:caps w:val="false"/>
          <w:smallCaps w:val="false"/>
        </w:rPr>
      </w:pPr>
      <w:r>
        <w:rPr>
          <w:caps w:val="false"/>
          <w:smallCaps w:val="false"/>
        </w:rPr>
        <w:t> </w:t>
      </w:r>
    </w:p>
    <w:tbl>
      <w:tblPr>
        <w:tblW w:w="4060" w:type="dxa"/>
        <w:jc w:val="left"/>
        <w:tblInd w:w="0" w:type="dxa"/>
        <w:tblLayout w:type="fixed"/>
        <w:tblCellMar>
          <w:top w:w="0" w:type="dxa"/>
          <w:left w:w="0" w:type="dxa"/>
          <w:bottom w:w="28" w:type="dxa"/>
          <w:right w:w="0" w:type="dxa"/>
        </w:tblCellMar>
      </w:tblPr>
      <w:tblGrid>
        <w:gridCol w:w="2480"/>
        <w:gridCol w:w="60"/>
        <w:gridCol w:w="1520"/>
      </w:tblGrid>
      <w:tr>
        <w:trPr/>
        <w:tc>
          <w:tcPr>
            <w:tcW w:w="2480" w:type="dxa"/>
            <w:tcBorders>
              <w:bottom w:val="single" w:sz="2" w:space="0" w:color="000000"/>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Delaware</w:t>
            </w:r>
          </w:p>
        </w:tc>
        <w:tc>
          <w:tcPr>
            <w:tcW w:w="60" w:type="dxa"/>
            <w:tcBorders/>
            <w:tcMar>
              <w:bottom w:w="0" w:type="dxa"/>
            </w:tcMar>
            <w:vAlign w:val="center"/>
          </w:tcPr>
          <w:p>
            <w:pPr>
              <w:pStyle w:val="TableContents"/>
              <w:bidi w:val="0"/>
              <w:spacing w:before="0" w:after="283"/>
              <w:jc w:val="left"/>
              <w:rPr/>
            </w:pPr>
            <w:r>
              <w:rPr/>
              <w:t> </w:t>
            </w:r>
          </w:p>
        </w:tc>
        <w:tc>
          <w:tcPr>
            <w:tcW w:w="1520" w:type="dxa"/>
            <w:tcBorders>
              <w:bottom w:val="single" w:sz="2" w:space="0" w:color="000000"/>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83-0205516</w:t>
            </w:r>
          </w:p>
        </w:tc>
      </w:tr>
      <w:tr>
        <w:trPr/>
        <w:tc>
          <w:tcPr>
            <w:tcW w:w="2480" w:type="dxa"/>
            <w:tcBorders/>
            <w:tcMar>
              <w:bottom w:w="0"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(State or other jurisdiction of</w:t>
            </w:r>
          </w:p>
        </w:tc>
        <w:tc>
          <w:tcPr>
            <w:tcW w:w="60" w:type="dxa"/>
            <w:tcBorders/>
            <w:tcMar>
              <w:bottom w:w="0" w:type="dxa"/>
            </w:tcMar>
            <w:vAlign w:val="center"/>
          </w:tcPr>
          <w:p>
            <w:pPr>
              <w:pStyle w:val="TableContents"/>
              <w:bidi w:val="0"/>
              <w:spacing w:before="0" w:after="283"/>
              <w:jc w:val="left"/>
              <w:rPr/>
            </w:pPr>
            <w:r>
              <w:rPr/>
              <w:t> </w:t>
            </w:r>
          </w:p>
        </w:tc>
        <w:tc>
          <w:tcPr>
            <w:tcW w:w="1520" w:type="dxa"/>
            <w:tcBorders/>
            <w:tcMar>
              <w:bottom w:w="0"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(I.R.S. Employer</w:t>
            </w:r>
          </w:p>
        </w:tc>
      </w:tr>
      <w:tr>
        <w:trPr/>
        <w:tc>
          <w:tcPr>
            <w:tcW w:w="2480" w:type="dxa"/>
            <w:tcBorders/>
            <w:tcMar>
              <w:bottom w:w="0"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incorporation or organization)</w:t>
            </w:r>
          </w:p>
        </w:tc>
        <w:tc>
          <w:tcPr>
            <w:tcW w:w="60" w:type="dxa"/>
            <w:tcBorders/>
            <w:tcMar>
              <w:bottom w:w="0" w:type="dxa"/>
            </w:tcMar>
            <w:vAlign w:val="center"/>
          </w:tcPr>
          <w:p>
            <w:pPr>
              <w:pStyle w:val="TableContents"/>
              <w:bidi w:val="0"/>
              <w:spacing w:before="0" w:after="283"/>
              <w:jc w:val="left"/>
              <w:rPr/>
            </w:pPr>
            <w:r>
              <w:rPr/>
              <w:t> </w:t>
            </w:r>
          </w:p>
        </w:tc>
        <w:tc>
          <w:tcPr>
            <w:tcW w:w="1520" w:type="dxa"/>
            <w:tcBorders/>
            <w:tcMar>
              <w:bottom w:w="0"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Identification No.)</w:t>
            </w:r>
          </w:p>
        </w:tc>
      </w:tr>
    </w:tbl>
    <w:p>
      <w:pPr>
        <w:pStyle w:val="TextBody"/>
        <w:bidi w:val="0"/>
        <w:spacing w:before="0" w:after="0"/>
        <w:ind w:left="0" w:right="0" w:hanging="0"/>
        <w:jc w:val="left"/>
        <w:rPr>
          <w:caps w:val="false"/>
          <w:smallCaps w:val="false"/>
        </w:rPr>
      </w:pPr>
      <w:r>
        <w:rPr>
          <w:caps w:val="false"/>
          <w:smallCaps w:val="false"/>
        </w:rPr>
        <w:t> </w:t>
      </w:r>
    </w:p>
    <w:tbl>
      <w:tblPr>
        <w:tblW w:w="4795" w:type="dxa"/>
        <w:jc w:val="left"/>
        <w:tblInd w:w="0" w:type="dxa"/>
        <w:tblLayout w:type="fixed"/>
        <w:tblCellMar>
          <w:top w:w="0" w:type="dxa"/>
          <w:left w:w="0" w:type="dxa"/>
          <w:bottom w:w="28" w:type="dxa"/>
          <w:right w:w="0" w:type="dxa"/>
        </w:tblCellMar>
      </w:tblPr>
      <w:tblGrid>
        <w:gridCol w:w="3830"/>
        <w:gridCol w:w="60"/>
        <w:gridCol w:w="905"/>
      </w:tblGrid>
      <w:tr>
        <w:trPr/>
        <w:tc>
          <w:tcPr>
            <w:tcW w:w="3830" w:type="dxa"/>
            <w:tcBorders>
              <w:bottom w:val="single" w:sz="2" w:space="0" w:color="000000"/>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1616 S. Voss Road, Suite 725, Houston, Texas</w:t>
            </w:r>
          </w:p>
        </w:tc>
        <w:tc>
          <w:tcPr>
            <w:tcW w:w="60" w:type="dxa"/>
            <w:tcBorders/>
            <w:tcMar>
              <w:bottom w:w="0" w:type="dxa"/>
            </w:tcMar>
            <w:vAlign w:val="center"/>
          </w:tcPr>
          <w:p>
            <w:pPr>
              <w:pStyle w:val="TableContents"/>
              <w:bidi w:val="0"/>
              <w:spacing w:before="0" w:after="283"/>
              <w:jc w:val="left"/>
              <w:rPr/>
            </w:pPr>
            <w:r>
              <w:rPr/>
              <w:t> </w:t>
            </w:r>
          </w:p>
        </w:tc>
        <w:tc>
          <w:tcPr>
            <w:tcW w:w="905" w:type="dxa"/>
            <w:tcBorders>
              <w:bottom w:val="single" w:sz="2" w:space="0" w:color="000000"/>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77057</w:t>
            </w:r>
          </w:p>
        </w:tc>
      </w:tr>
      <w:tr>
        <w:trPr/>
        <w:tc>
          <w:tcPr>
            <w:tcW w:w="3830" w:type="dxa"/>
            <w:tcBorders/>
            <w:tcMar>
              <w:bottom w:w="0"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(Address of principal executive offices)</w:t>
            </w:r>
          </w:p>
        </w:tc>
        <w:tc>
          <w:tcPr>
            <w:tcW w:w="60" w:type="dxa"/>
            <w:tcBorders/>
            <w:tcMar>
              <w:bottom w:w="0" w:type="dxa"/>
            </w:tcMar>
            <w:vAlign w:val="center"/>
          </w:tcPr>
          <w:p>
            <w:pPr>
              <w:pStyle w:val="TableContents"/>
              <w:bidi w:val="0"/>
              <w:spacing w:before="0" w:after="283"/>
              <w:jc w:val="left"/>
              <w:rPr/>
            </w:pPr>
            <w:r>
              <w:rPr/>
              <w:t> </w:t>
            </w:r>
          </w:p>
        </w:tc>
        <w:tc>
          <w:tcPr>
            <w:tcW w:w="905" w:type="dxa"/>
            <w:tcBorders/>
            <w:tcMar>
              <w:bottom w:w="0"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(Zip Code)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0"/>
          <w:u w:val="single"/>
        </w:rPr>
      </w:pPr>
      <w:r>
        <w:rPr>
          <w:rFonts w:ascii="Times New Roman" w:hAnsi="Times New Roman"/>
          <w:b/>
          <w:caps w:val="false"/>
          <w:smallCaps w:val="false"/>
          <w:sz w:val="20"/>
          <w:u w:val="single"/>
        </w:rPr>
        <w:t>(346) 509-8734</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(Registrant’s telephone number, including area code)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Securities registered pursuant to Section 12(b) of the Act:</w:t>
      </w:r>
    </w:p>
    <w:p>
      <w:pPr>
        <w:pStyle w:val="TextBody"/>
        <w:bidi w:val="0"/>
        <w:spacing w:before="0" w:after="0"/>
        <w:ind w:left="0" w:right="0" w:hanging="0"/>
        <w:jc w:val="left"/>
        <w:rPr>
          <w:caps w:val="false"/>
          <w:smallCaps w:val="false"/>
        </w:rPr>
      </w:pPr>
      <w:r>
        <w:rPr>
          <w:caps w:val="false"/>
          <w:smallCaps w:val="false"/>
        </w:rPr>
        <w:t> </w:t>
      </w:r>
    </w:p>
    <w:tbl>
      <w:tblPr>
        <w:tblW w:w="7890" w:type="dxa"/>
        <w:jc w:val="left"/>
        <w:tblInd w:w="0" w:type="dxa"/>
        <w:tblLayout w:type="fixed"/>
        <w:tblCellMar>
          <w:top w:w="0" w:type="dxa"/>
          <w:left w:w="0" w:type="dxa"/>
          <w:bottom w:w="28" w:type="dxa"/>
          <w:right w:w="0" w:type="dxa"/>
        </w:tblCellMar>
      </w:tblPr>
      <w:tblGrid>
        <w:gridCol w:w="2690"/>
        <w:gridCol w:w="60"/>
        <w:gridCol w:w="1505"/>
        <w:gridCol w:w="60"/>
        <w:gridCol w:w="3575"/>
      </w:tblGrid>
      <w:tr>
        <w:trPr/>
        <w:tc>
          <w:tcPr>
            <w:tcW w:w="2690" w:type="dxa"/>
            <w:tcBorders>
              <w:bottom w:val="single" w:sz="2" w:space="0" w:color="000000"/>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Title of each class</w:t>
            </w:r>
          </w:p>
        </w:tc>
        <w:tc>
          <w:tcPr>
            <w:tcW w:w="60" w:type="dxa"/>
            <w:tcBorders/>
            <w:tcMar>
              <w:bottom w:w="0" w:type="dxa"/>
            </w:tcMar>
            <w:vAlign w:val="center"/>
          </w:tcPr>
          <w:p>
            <w:pPr>
              <w:pStyle w:val="TableContents"/>
              <w:bidi w:val="0"/>
              <w:spacing w:before="0" w:after="283"/>
              <w:jc w:val="left"/>
              <w:rPr/>
            </w:pPr>
            <w:r>
              <w:rPr/>
              <w:t> </w:t>
            </w:r>
          </w:p>
        </w:tc>
        <w:tc>
          <w:tcPr>
            <w:tcW w:w="1505" w:type="dxa"/>
            <w:tcBorders>
              <w:bottom w:val="single" w:sz="2" w:space="0" w:color="000000"/>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Trading symbol(s)</w:t>
            </w:r>
          </w:p>
        </w:tc>
        <w:tc>
          <w:tcPr>
            <w:tcW w:w="60" w:type="dxa"/>
            <w:tcBorders/>
            <w:tcMar>
              <w:bottom w:w="0" w:type="dxa"/>
            </w:tcMar>
            <w:vAlign w:val="center"/>
          </w:tcPr>
          <w:p>
            <w:pPr>
              <w:pStyle w:val="TableContents"/>
              <w:bidi w:val="0"/>
              <w:spacing w:before="0" w:after="283"/>
              <w:jc w:val="left"/>
              <w:rPr/>
            </w:pPr>
            <w:r>
              <w:rPr/>
              <w:t> </w:t>
            </w:r>
          </w:p>
        </w:tc>
        <w:tc>
          <w:tcPr>
            <w:tcW w:w="3575" w:type="dxa"/>
            <w:tcBorders>
              <w:bottom w:val="single" w:sz="2" w:space="0" w:color="000000"/>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Name of each exchange on which registered</w:t>
            </w:r>
          </w:p>
        </w:tc>
      </w:tr>
      <w:tr>
        <w:trPr/>
        <w:tc>
          <w:tcPr>
            <w:tcW w:w="2690" w:type="dxa"/>
            <w:tcBorders/>
            <w:tcMar>
              <w:bottom w:w="0"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Common stock, par value $0.01</w:t>
            </w:r>
          </w:p>
        </w:tc>
        <w:tc>
          <w:tcPr>
            <w:tcW w:w="60" w:type="dxa"/>
            <w:tcBorders/>
            <w:tcMar>
              <w:bottom w:w="0" w:type="dxa"/>
            </w:tcMar>
            <w:vAlign w:val="center"/>
          </w:tcPr>
          <w:p>
            <w:pPr>
              <w:pStyle w:val="TableContents"/>
              <w:bidi w:val="0"/>
              <w:spacing w:before="0" w:after="283"/>
              <w:jc w:val="left"/>
              <w:rPr/>
            </w:pPr>
            <w:r>
              <w:rPr/>
              <w:t> </w:t>
            </w:r>
          </w:p>
        </w:tc>
        <w:tc>
          <w:tcPr>
            <w:tcW w:w="1505" w:type="dxa"/>
            <w:tcBorders/>
            <w:tcMar>
              <w:bottom w:w="0"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USEG</w:t>
            </w:r>
          </w:p>
        </w:tc>
        <w:tc>
          <w:tcPr>
            <w:tcW w:w="60" w:type="dxa"/>
            <w:tcBorders/>
            <w:tcMar>
              <w:bottom w:w="0" w:type="dxa"/>
            </w:tcMar>
            <w:vAlign w:val="center"/>
          </w:tcPr>
          <w:p>
            <w:pPr>
              <w:pStyle w:val="TableContents"/>
              <w:bidi w:val="0"/>
              <w:spacing w:before="0" w:after="283"/>
              <w:jc w:val="left"/>
              <w:rPr/>
            </w:pPr>
            <w:r>
              <w:rPr/>
              <w:t> </w:t>
            </w:r>
          </w:p>
        </w:tc>
        <w:tc>
          <w:tcPr>
            <w:tcW w:w="3575" w:type="dxa"/>
            <w:tcBorders/>
            <w:tcMar>
              <w:bottom w:w="0"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NASDAQ Stock Market LLC</w:t>
            </w:r>
            <w:r>
              <w:rPr>
                <w:rFonts w:ascii="Times New Roman" w:hAnsi="Times New Roman"/>
                <w:caps w:val="false"/>
                <w:smallCaps w:val="false"/>
                <w:sz w:val="20"/>
              </w:rPr>
              <w:br/>
            </w:r>
            <w:r>
              <w:rPr>
                <w:rFonts w:ascii="Times New Roman" w:hAnsi="Times New Roman"/>
                <w:b/>
                <w:caps w:val="false"/>
                <w:smallCaps w:val="false"/>
                <w:sz w:val="20"/>
              </w:rPr>
              <w:t>(Nasdaq Capital Market)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 No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 No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pStyle w:val="TextBody"/>
        <w:bidi w:val="0"/>
        <w:spacing w:before="0" w:after="0"/>
        <w:ind w:left="0" w:right="0" w:hanging="0"/>
        <w:jc w:val="left"/>
        <w:rPr>
          <w:caps w:val="false"/>
          <w:smallCaps w:val="false"/>
        </w:rPr>
      </w:pPr>
      <w:r>
        <w:rPr>
          <w:caps w:val="false"/>
          <w:smallCaps w:val="false"/>
        </w:rPr>
        <w:t> </w:t>
      </w:r>
    </w:p>
    <w:tbl>
      <w:tblPr>
        <w:tblW w:w="4495" w:type="dxa"/>
        <w:jc w:val="left"/>
        <w:tblInd w:w="0" w:type="dxa"/>
        <w:tblLayout w:type="fixed"/>
        <w:tblCellMar>
          <w:top w:w="0" w:type="dxa"/>
          <w:left w:w="0" w:type="dxa"/>
          <w:bottom w:w="0" w:type="dxa"/>
          <w:right w:w="0" w:type="dxa"/>
        </w:tblCellMar>
      </w:tblPr>
      <w:tblGrid>
        <w:gridCol w:w="2045"/>
        <w:gridCol w:w="2450"/>
      </w:tblGrid>
      <w:tr>
        <w:trPr/>
        <w:tc>
          <w:tcPr>
            <w:tcW w:w="2045"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Large accelerated filer ☐</w:t>
            </w:r>
          </w:p>
        </w:tc>
        <w:tc>
          <w:tcPr>
            <w:tcW w:w="245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Accelerated filer ☐</w:t>
            </w:r>
          </w:p>
        </w:tc>
      </w:tr>
      <w:tr>
        <w:trPr/>
        <w:tc>
          <w:tcPr>
            <w:tcW w:w="2045"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Non-accelerated filer ☒</w:t>
            </w:r>
          </w:p>
        </w:tc>
        <w:tc>
          <w:tcPr>
            <w:tcW w:w="245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Smaller reporting company ☒</w:t>
            </w:r>
          </w:p>
        </w:tc>
      </w:tr>
      <w:tr>
        <w:trPr/>
        <w:tc>
          <w:tcPr>
            <w:tcW w:w="2045" w:type="dxa"/>
            <w:tcBorders/>
            <w:vAlign w:val="center"/>
          </w:tcPr>
          <w:p>
            <w:pPr>
              <w:pStyle w:val="TableContents"/>
              <w:bidi w:val="0"/>
              <w:spacing w:before="0" w:after="283"/>
              <w:jc w:val="left"/>
              <w:rPr/>
            </w:pPr>
            <w:r>
              <w:rPr/>
              <w:t> </w:t>
            </w:r>
          </w:p>
        </w:tc>
        <w:tc>
          <w:tcPr>
            <w:tcW w:w="245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Emerging growth company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Indicate by check mark whether the registrant is a shell company (as defined in Rule 12b-2 of the Exchange Act). Yes ☐ No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registrant had 34,405,143 shares of its common stock, par value $0.01 per share, outstanding as of November 12, 2025.</w:t>
      </w:r>
    </w:p>
    <w:p>
      <w:pPr>
        <w:pStyle w:val="TextBody"/>
        <w:bidi w:val="0"/>
        <w:spacing w:before="0" w:after="0"/>
        <w:ind w:left="0" w:right="0" w:hanging="0"/>
        <w:jc w:val="both"/>
        <w:rPr>
          <w:caps w:val="false"/>
          <w:smallCaps w:val="false"/>
        </w:rPr>
      </w:pPr>
      <w:r>
        <w:rPr>
          <w:caps w:val="false"/>
          <w:smallCaps w:val="false"/>
        </w:rPr>
        <w:t> </w:t>
      </w:r>
    </w:p>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pPr>
      <w:r>
        <w:rPr/>
        <w:t xml:space="preserve">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283"/>
        <w:jc w:val="left"/>
        <w:rPr/>
      </w:pPr>
      <w:r>
        <w:rPr/>
        <w:t xml:space="preserve">  </w:t>
      </w:r>
    </w:p>
    <w:p>
      <w:pPr>
        <w:pStyle w:val="TextBody"/>
        <w:bidi w:val="0"/>
        <w:spacing w:before="0" w:after="0"/>
        <w:ind w:left="0" w:right="0" w:hanging="0"/>
        <w:jc w:val="center"/>
        <w:rPr>
          <w:rFonts w:ascii="Times New Roman" w:hAnsi="Times New Roman"/>
          <w:b/>
          <w:caps w:val="false"/>
          <w:smallCaps w:val="false"/>
          <w:sz w:val="20"/>
          <w:u w:val="single"/>
        </w:rPr>
      </w:pPr>
      <w:bookmarkStart w:id="2" w:name="toc"/>
      <w:bookmarkEnd w:id="2"/>
      <w:r>
        <w:rPr>
          <w:rFonts w:ascii="Times New Roman" w:hAnsi="Times New Roman"/>
          <w:b/>
          <w:caps w:val="false"/>
          <w:smallCaps w:val="false"/>
          <w:sz w:val="20"/>
          <w:u w:val="single"/>
        </w:rPr>
        <w:t>TABLE OF CONTENTS</w:t>
      </w:r>
    </w:p>
    <w:p>
      <w:pPr>
        <w:pStyle w:val="TextBody"/>
        <w:bidi w:val="0"/>
        <w:spacing w:before="0" w:after="0"/>
        <w:ind w:left="0" w:right="0" w:hanging="0"/>
        <w:jc w:val="left"/>
        <w:rPr>
          <w:caps w:val="false"/>
          <w:smallCaps w:val="false"/>
        </w:rPr>
      </w:pPr>
      <w:r>
        <w:rPr>
          <w:caps w:val="false"/>
          <w:smallCaps w:val="false"/>
        </w:rPr>
        <w:t> </w:t>
      </w:r>
    </w:p>
    <w:tbl>
      <w:tblPr>
        <w:tblW w:w="8430" w:type="dxa"/>
        <w:jc w:val="left"/>
        <w:tblInd w:w="0" w:type="dxa"/>
        <w:tblLayout w:type="fixed"/>
        <w:tblCellMar>
          <w:top w:w="0" w:type="dxa"/>
          <w:left w:w="0" w:type="dxa"/>
          <w:bottom w:w="0" w:type="dxa"/>
          <w:right w:w="0" w:type="dxa"/>
        </w:tblCellMar>
      </w:tblPr>
      <w:tblGrid>
        <w:gridCol w:w="710"/>
        <w:gridCol w:w="7280"/>
        <w:gridCol w:w="440"/>
      </w:tblGrid>
      <w:tr>
        <w:trPr/>
        <w:tc>
          <w:tcPr>
            <w:tcW w:w="710" w:type="dxa"/>
            <w:tcBorders/>
            <w:vAlign w:val="center"/>
          </w:tcPr>
          <w:p>
            <w:pPr>
              <w:pStyle w:val="TableContents"/>
              <w:bidi w:val="0"/>
              <w:spacing w:before="0" w:after="283"/>
              <w:jc w:val="left"/>
              <w:rPr/>
            </w:pPr>
            <w:r>
              <w:rPr/>
              <w:t> </w:t>
            </w:r>
          </w:p>
        </w:tc>
        <w:tc>
          <w:tcPr>
            <w:tcW w:w="7280" w:type="dxa"/>
            <w:tcBorders/>
            <w:vAlign w:val="center"/>
          </w:tcPr>
          <w:p>
            <w:pPr>
              <w:pStyle w:val="TableContents"/>
              <w:bidi w:val="0"/>
              <w:spacing w:before="0" w:after="283"/>
              <w:jc w:val="left"/>
              <w:rPr/>
            </w:pPr>
            <w:r>
              <w:rPr/>
              <w:t> </w:t>
            </w:r>
          </w:p>
        </w:tc>
        <w:tc>
          <w:tcPr>
            <w:tcW w:w="440"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Page</w:t>
            </w:r>
          </w:p>
        </w:tc>
      </w:tr>
      <w:tr>
        <w:trPr/>
        <w:tc>
          <w:tcPr>
            <w:tcW w:w="7990" w:type="dxa"/>
            <w:gridSpan w:val="2"/>
            <w:tcBorders/>
            <w:vAlign w:val="center"/>
          </w:tcPr>
          <w:p>
            <w:pPr>
              <w:pStyle w:val="TableContents"/>
              <w:bidi w:val="0"/>
              <w:spacing w:before="0" w:after="0"/>
              <w:ind w:left="0" w:right="0" w:hanging="0"/>
              <w:jc w:val="left"/>
              <w:rPr/>
            </w:pPr>
            <w:hyperlink w:anchor="cautionary">
              <w:r>
                <w:rPr>
                  <w:rStyle w:val="InternetLink"/>
                  <w:rFonts w:ascii="Times New Roman" w:hAnsi="Times New Roman"/>
                  <w:caps w:val="false"/>
                  <w:smallCaps w:val="false"/>
                  <w:sz w:val="20"/>
                </w:rPr>
                <w:t>Cautionary Note About Forward-Looking Statements</w:t>
              </w:r>
            </w:hyperlink>
          </w:p>
        </w:tc>
        <w:tc>
          <w:tcPr>
            <w:tcW w:w="440" w:type="dxa"/>
            <w:tcBorders/>
            <w:vAlign w:val="center"/>
          </w:tcPr>
          <w:p>
            <w:pPr>
              <w:pStyle w:val="TableContents"/>
              <w:bidi w:val="0"/>
              <w:spacing w:before="0" w:after="0"/>
              <w:ind w:left="0" w:right="0" w:hanging="0"/>
              <w:jc w:val="center"/>
              <w:rPr/>
            </w:pPr>
            <w:hyperlink w:anchor="cautionary">
              <w:r>
                <w:rPr>
                  <w:rStyle w:val="InternetLink"/>
                  <w:rFonts w:ascii="Times New Roman" w:hAnsi="Times New Roman"/>
                  <w:caps w:val="false"/>
                  <w:smallCaps w:val="false"/>
                  <w:sz w:val="20"/>
                </w:rPr>
                <w:t>3</w:t>
              </w:r>
            </w:hyperlink>
          </w:p>
        </w:tc>
      </w:tr>
      <w:tr>
        <w:trPr/>
        <w:tc>
          <w:tcPr>
            <w:tcW w:w="710" w:type="dxa"/>
            <w:tcBorders/>
            <w:vAlign w:val="center"/>
          </w:tcPr>
          <w:p>
            <w:pPr>
              <w:pStyle w:val="TableContents"/>
              <w:bidi w:val="0"/>
              <w:spacing w:before="0" w:after="283"/>
              <w:jc w:val="left"/>
              <w:rPr/>
            </w:pPr>
            <w:r>
              <w:rPr/>
              <w:t> </w:t>
            </w:r>
          </w:p>
        </w:tc>
        <w:tc>
          <w:tcPr>
            <w:tcW w:w="7280" w:type="dxa"/>
            <w:tcBorders/>
            <w:vAlign w:val="center"/>
          </w:tcPr>
          <w:p>
            <w:pPr>
              <w:pStyle w:val="TableContents"/>
              <w:bidi w:val="0"/>
              <w:spacing w:before="0" w:after="283"/>
              <w:jc w:val="left"/>
              <w:rPr/>
            </w:pPr>
            <w:r>
              <w:rPr/>
              <w:t> </w:t>
            </w:r>
          </w:p>
        </w:tc>
        <w:tc>
          <w:tcPr>
            <w:tcW w:w="440" w:type="dxa"/>
            <w:tcBorders/>
            <w:vAlign w:val="center"/>
          </w:tcPr>
          <w:p>
            <w:pPr>
              <w:pStyle w:val="TableContents"/>
              <w:bidi w:val="0"/>
              <w:spacing w:before="0" w:after="283"/>
              <w:jc w:val="left"/>
              <w:rPr/>
            </w:pPr>
            <w:r>
              <w:rPr/>
              <w:t> </w:t>
            </w:r>
          </w:p>
        </w:tc>
      </w:tr>
      <w:tr>
        <w:trPr/>
        <w:tc>
          <w:tcPr>
            <w:tcW w:w="710" w:type="dxa"/>
            <w:tcBorders/>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Part I.</w:t>
            </w:r>
          </w:p>
        </w:tc>
        <w:tc>
          <w:tcPr>
            <w:tcW w:w="7280" w:type="dxa"/>
            <w:tcBorders/>
            <w:vAlign w:val="center"/>
          </w:tcPr>
          <w:p>
            <w:pPr>
              <w:pStyle w:val="TableContents"/>
              <w:bidi w:val="0"/>
              <w:spacing w:before="0" w:after="0"/>
              <w:ind w:left="0" w:right="0" w:hanging="0"/>
              <w:jc w:val="left"/>
              <w:rPr/>
            </w:pPr>
            <w:hyperlink w:anchor="partonefininfo">
              <w:r>
                <w:rPr>
                  <w:rStyle w:val="InternetLink"/>
                  <w:rFonts w:ascii="Times New Roman" w:hAnsi="Times New Roman"/>
                  <w:caps w:val="false"/>
                  <w:smallCaps w:val="false"/>
                  <w:sz w:val="20"/>
                </w:rPr>
                <w:t>FINANCIAL INFORMATION</w:t>
              </w:r>
            </w:hyperlink>
          </w:p>
        </w:tc>
        <w:tc>
          <w:tcPr>
            <w:tcW w:w="440" w:type="dxa"/>
            <w:tcBorders/>
            <w:vAlign w:val="center"/>
          </w:tcPr>
          <w:p>
            <w:pPr>
              <w:pStyle w:val="TableContents"/>
              <w:bidi w:val="0"/>
              <w:spacing w:before="0" w:after="0"/>
              <w:ind w:left="0" w:right="0" w:hanging="0"/>
              <w:jc w:val="center"/>
              <w:rPr/>
            </w:pPr>
            <w:hyperlink w:anchor="partonefininfo">
              <w:r>
                <w:rPr>
                  <w:rStyle w:val="InternetLink"/>
                  <w:rFonts w:ascii="Times New Roman" w:hAnsi="Times New Roman"/>
                  <w:caps w:val="false"/>
                  <w:smallCaps w:val="false"/>
                  <w:sz w:val="20"/>
                </w:rPr>
                <w:t>4</w:t>
              </w:r>
            </w:hyperlink>
          </w:p>
        </w:tc>
      </w:tr>
      <w:tr>
        <w:trPr/>
        <w:tc>
          <w:tcPr>
            <w:tcW w:w="710" w:type="dxa"/>
            <w:tcBorders/>
            <w:vAlign w:val="center"/>
          </w:tcPr>
          <w:p>
            <w:pPr>
              <w:pStyle w:val="TableContents"/>
              <w:bidi w:val="0"/>
              <w:spacing w:before="0" w:after="283"/>
              <w:jc w:val="left"/>
              <w:rPr/>
            </w:pPr>
            <w:r>
              <w:rPr/>
              <w:t> </w:t>
            </w:r>
          </w:p>
        </w:tc>
        <w:tc>
          <w:tcPr>
            <w:tcW w:w="7280" w:type="dxa"/>
            <w:tcBorders/>
            <w:vAlign w:val="center"/>
          </w:tcPr>
          <w:p>
            <w:pPr>
              <w:pStyle w:val="TableContents"/>
              <w:bidi w:val="0"/>
              <w:spacing w:before="0" w:after="283"/>
              <w:jc w:val="left"/>
              <w:rPr/>
            </w:pPr>
            <w:r>
              <w:rPr/>
              <w:t> </w:t>
            </w:r>
          </w:p>
        </w:tc>
        <w:tc>
          <w:tcPr>
            <w:tcW w:w="440" w:type="dxa"/>
            <w:tcBorders/>
            <w:vAlign w:val="center"/>
          </w:tcPr>
          <w:p>
            <w:pPr>
              <w:pStyle w:val="TableContents"/>
              <w:bidi w:val="0"/>
              <w:spacing w:before="0" w:after="283"/>
              <w:jc w:val="left"/>
              <w:rPr/>
            </w:pPr>
            <w:r>
              <w:rPr/>
              <w:t> </w:t>
            </w:r>
          </w:p>
        </w:tc>
      </w:tr>
      <w:tr>
        <w:trPr/>
        <w:tc>
          <w:tcPr>
            <w:tcW w:w="71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Item 1.</w:t>
            </w:r>
          </w:p>
        </w:tc>
        <w:tc>
          <w:tcPr>
            <w:tcW w:w="7280" w:type="dxa"/>
            <w:tcBorders/>
            <w:vAlign w:val="center"/>
          </w:tcPr>
          <w:p>
            <w:pPr>
              <w:pStyle w:val="TableContents"/>
              <w:bidi w:val="0"/>
              <w:spacing w:before="0" w:after="0"/>
              <w:ind w:left="0" w:right="0" w:hanging="0"/>
              <w:jc w:val="left"/>
              <w:rPr/>
            </w:pPr>
            <w:hyperlink w:anchor="finstmts">
              <w:r>
                <w:rPr>
                  <w:rStyle w:val="InternetLink"/>
                  <w:rFonts w:ascii="Times New Roman" w:hAnsi="Times New Roman"/>
                  <w:caps w:val="false"/>
                  <w:smallCaps w:val="false"/>
                  <w:sz w:val="20"/>
                </w:rPr>
                <w:t>Financial Statements</w:t>
              </w:r>
            </w:hyperlink>
          </w:p>
        </w:tc>
        <w:tc>
          <w:tcPr>
            <w:tcW w:w="440" w:type="dxa"/>
            <w:tcBorders/>
            <w:vAlign w:val="center"/>
          </w:tcPr>
          <w:p>
            <w:pPr>
              <w:pStyle w:val="TableContents"/>
              <w:bidi w:val="0"/>
              <w:spacing w:before="0" w:after="0"/>
              <w:ind w:left="0" w:right="0" w:hanging="0"/>
              <w:jc w:val="center"/>
              <w:rPr/>
            </w:pPr>
            <w:hyperlink w:anchor="finstmts">
              <w:r>
                <w:rPr>
                  <w:rStyle w:val="InternetLink"/>
                  <w:rFonts w:ascii="Times New Roman" w:hAnsi="Times New Roman"/>
                  <w:caps w:val="false"/>
                  <w:smallCaps w:val="false"/>
                  <w:sz w:val="20"/>
                </w:rPr>
                <w:t>4</w:t>
              </w:r>
            </w:hyperlink>
          </w:p>
        </w:tc>
      </w:tr>
      <w:tr>
        <w:trPr/>
        <w:tc>
          <w:tcPr>
            <w:tcW w:w="710" w:type="dxa"/>
            <w:tcBorders/>
            <w:vAlign w:val="center"/>
          </w:tcPr>
          <w:p>
            <w:pPr>
              <w:pStyle w:val="TableContents"/>
              <w:bidi w:val="0"/>
              <w:spacing w:before="0" w:after="283"/>
              <w:jc w:val="left"/>
              <w:rPr/>
            </w:pPr>
            <w:r>
              <w:rPr/>
              <w:t> </w:t>
            </w:r>
          </w:p>
        </w:tc>
        <w:tc>
          <w:tcPr>
            <w:tcW w:w="7280" w:type="dxa"/>
            <w:tcBorders/>
            <w:vAlign w:val="center"/>
          </w:tcPr>
          <w:p>
            <w:pPr>
              <w:pStyle w:val="TableContents"/>
              <w:bidi w:val="0"/>
              <w:spacing w:before="0" w:after="0"/>
              <w:ind w:left="0" w:right="0" w:hanging="0"/>
              <w:jc w:val="left"/>
              <w:rPr/>
            </w:pPr>
            <w:hyperlink w:anchor="bs">
              <w:r>
                <w:rPr>
                  <w:rStyle w:val="InternetLink"/>
                  <w:rFonts w:ascii="Times New Roman" w:hAnsi="Times New Roman"/>
                  <w:caps w:val="false"/>
                  <w:smallCaps w:val="false"/>
                  <w:sz w:val="20"/>
                </w:rPr>
                <w:t>Condensed Consolidated Balance Sheets (unaudited)</w:t>
              </w:r>
            </w:hyperlink>
          </w:p>
        </w:tc>
        <w:tc>
          <w:tcPr>
            <w:tcW w:w="440" w:type="dxa"/>
            <w:tcBorders/>
            <w:vAlign w:val="center"/>
          </w:tcPr>
          <w:p>
            <w:pPr>
              <w:pStyle w:val="TableContents"/>
              <w:bidi w:val="0"/>
              <w:spacing w:before="0" w:after="0"/>
              <w:ind w:left="0" w:right="0" w:hanging="0"/>
              <w:jc w:val="center"/>
              <w:rPr/>
            </w:pPr>
            <w:hyperlink w:anchor="bs">
              <w:r>
                <w:rPr>
                  <w:rStyle w:val="InternetLink"/>
                  <w:rFonts w:ascii="Times New Roman" w:hAnsi="Times New Roman"/>
                  <w:caps w:val="false"/>
                  <w:smallCaps w:val="false"/>
                  <w:sz w:val="20"/>
                </w:rPr>
                <w:t>4</w:t>
              </w:r>
            </w:hyperlink>
          </w:p>
        </w:tc>
      </w:tr>
      <w:tr>
        <w:trPr/>
        <w:tc>
          <w:tcPr>
            <w:tcW w:w="710" w:type="dxa"/>
            <w:tcBorders/>
            <w:vAlign w:val="center"/>
          </w:tcPr>
          <w:p>
            <w:pPr>
              <w:pStyle w:val="TableContents"/>
              <w:bidi w:val="0"/>
              <w:spacing w:before="0" w:after="283"/>
              <w:jc w:val="left"/>
              <w:rPr/>
            </w:pPr>
            <w:r>
              <w:rPr/>
              <w:t> </w:t>
            </w:r>
          </w:p>
        </w:tc>
        <w:tc>
          <w:tcPr>
            <w:tcW w:w="7280" w:type="dxa"/>
            <w:tcBorders/>
            <w:vAlign w:val="center"/>
          </w:tcPr>
          <w:p>
            <w:pPr>
              <w:pStyle w:val="TableContents"/>
              <w:bidi w:val="0"/>
              <w:spacing w:before="0" w:after="0"/>
              <w:ind w:left="0" w:right="0" w:hanging="0"/>
              <w:jc w:val="left"/>
              <w:rPr/>
            </w:pPr>
            <w:hyperlink w:anchor="ops">
              <w:r>
                <w:rPr>
                  <w:rStyle w:val="InternetLink"/>
                  <w:rFonts w:ascii="Times New Roman" w:hAnsi="Times New Roman"/>
                  <w:caps w:val="false"/>
                  <w:smallCaps w:val="false"/>
                  <w:sz w:val="20"/>
                </w:rPr>
                <w:t>Condensed Consolidated Statements of Operations (unaudited)</w:t>
              </w:r>
            </w:hyperlink>
          </w:p>
        </w:tc>
        <w:tc>
          <w:tcPr>
            <w:tcW w:w="440" w:type="dxa"/>
            <w:tcBorders/>
            <w:vAlign w:val="center"/>
          </w:tcPr>
          <w:p>
            <w:pPr>
              <w:pStyle w:val="TableContents"/>
              <w:bidi w:val="0"/>
              <w:spacing w:before="0" w:after="0"/>
              <w:ind w:left="0" w:right="0" w:hanging="0"/>
              <w:jc w:val="center"/>
              <w:rPr/>
            </w:pPr>
            <w:hyperlink w:anchor="ops">
              <w:r>
                <w:rPr>
                  <w:rStyle w:val="InternetLink"/>
                  <w:rFonts w:ascii="Times New Roman" w:hAnsi="Times New Roman"/>
                  <w:caps w:val="false"/>
                  <w:smallCaps w:val="false"/>
                  <w:sz w:val="20"/>
                </w:rPr>
                <w:t>5</w:t>
              </w:r>
            </w:hyperlink>
          </w:p>
        </w:tc>
      </w:tr>
      <w:tr>
        <w:trPr/>
        <w:tc>
          <w:tcPr>
            <w:tcW w:w="710" w:type="dxa"/>
            <w:tcBorders/>
            <w:vAlign w:val="center"/>
          </w:tcPr>
          <w:p>
            <w:pPr>
              <w:pStyle w:val="TableContents"/>
              <w:bidi w:val="0"/>
              <w:spacing w:before="0" w:after="283"/>
              <w:jc w:val="left"/>
              <w:rPr/>
            </w:pPr>
            <w:r>
              <w:rPr/>
              <w:t> </w:t>
            </w:r>
          </w:p>
        </w:tc>
        <w:tc>
          <w:tcPr>
            <w:tcW w:w="7280" w:type="dxa"/>
            <w:tcBorders/>
            <w:vAlign w:val="center"/>
          </w:tcPr>
          <w:p>
            <w:pPr>
              <w:pStyle w:val="TableContents"/>
              <w:bidi w:val="0"/>
              <w:spacing w:before="0" w:after="0"/>
              <w:ind w:left="0" w:right="0" w:hanging="0"/>
              <w:jc w:val="left"/>
              <w:rPr/>
            </w:pPr>
            <w:hyperlink w:anchor="se">
              <w:r>
                <w:rPr>
                  <w:rStyle w:val="InternetLink"/>
                  <w:rFonts w:ascii="Times New Roman" w:hAnsi="Times New Roman"/>
                  <w:caps w:val="false"/>
                  <w:smallCaps w:val="false"/>
                  <w:sz w:val="20"/>
                </w:rPr>
                <w:t>Condensed Consolidated Statements of Changes in Shareholders’ Equity (unaudited)</w:t>
              </w:r>
            </w:hyperlink>
          </w:p>
        </w:tc>
        <w:tc>
          <w:tcPr>
            <w:tcW w:w="440" w:type="dxa"/>
            <w:tcBorders/>
            <w:vAlign w:val="center"/>
          </w:tcPr>
          <w:p>
            <w:pPr>
              <w:pStyle w:val="TableContents"/>
              <w:bidi w:val="0"/>
              <w:spacing w:before="0" w:after="0"/>
              <w:ind w:left="0" w:right="0" w:hanging="0"/>
              <w:jc w:val="center"/>
              <w:rPr/>
            </w:pPr>
            <w:hyperlink w:anchor="se">
              <w:r>
                <w:rPr>
                  <w:rStyle w:val="InternetLink"/>
                  <w:rFonts w:ascii="Times New Roman" w:hAnsi="Times New Roman"/>
                  <w:caps w:val="false"/>
                  <w:smallCaps w:val="false"/>
                  <w:sz w:val="20"/>
                </w:rPr>
                <w:t>6</w:t>
              </w:r>
            </w:hyperlink>
          </w:p>
        </w:tc>
      </w:tr>
      <w:tr>
        <w:trPr/>
        <w:tc>
          <w:tcPr>
            <w:tcW w:w="710" w:type="dxa"/>
            <w:tcBorders/>
            <w:vAlign w:val="center"/>
          </w:tcPr>
          <w:p>
            <w:pPr>
              <w:pStyle w:val="TableContents"/>
              <w:bidi w:val="0"/>
              <w:spacing w:before="0" w:after="283"/>
              <w:jc w:val="left"/>
              <w:rPr/>
            </w:pPr>
            <w:r>
              <w:rPr/>
              <w:t> </w:t>
            </w:r>
          </w:p>
        </w:tc>
        <w:tc>
          <w:tcPr>
            <w:tcW w:w="7280" w:type="dxa"/>
            <w:tcBorders/>
            <w:vAlign w:val="center"/>
          </w:tcPr>
          <w:p>
            <w:pPr>
              <w:pStyle w:val="TableContents"/>
              <w:bidi w:val="0"/>
              <w:spacing w:before="0" w:after="0"/>
              <w:ind w:left="0" w:right="0" w:hanging="0"/>
              <w:jc w:val="left"/>
              <w:rPr/>
            </w:pPr>
            <w:hyperlink w:anchor="cf">
              <w:r>
                <w:rPr>
                  <w:rStyle w:val="InternetLink"/>
                  <w:rFonts w:ascii="Times New Roman" w:hAnsi="Times New Roman"/>
                  <w:caps w:val="false"/>
                  <w:smallCaps w:val="false"/>
                  <w:sz w:val="20"/>
                </w:rPr>
                <w:t>Condensed Consolidated Statements of Cash Flows (unaudited)</w:t>
              </w:r>
            </w:hyperlink>
          </w:p>
        </w:tc>
        <w:tc>
          <w:tcPr>
            <w:tcW w:w="440" w:type="dxa"/>
            <w:tcBorders/>
            <w:vAlign w:val="center"/>
          </w:tcPr>
          <w:p>
            <w:pPr>
              <w:pStyle w:val="TableContents"/>
              <w:bidi w:val="0"/>
              <w:spacing w:before="0" w:after="0"/>
              <w:ind w:left="0" w:right="0" w:hanging="0"/>
              <w:jc w:val="center"/>
              <w:rPr/>
            </w:pPr>
            <w:hyperlink w:anchor="cf">
              <w:r>
                <w:rPr>
                  <w:rStyle w:val="InternetLink"/>
                  <w:rFonts w:ascii="Times New Roman" w:hAnsi="Times New Roman"/>
                  <w:caps w:val="false"/>
                  <w:smallCaps w:val="false"/>
                  <w:sz w:val="20"/>
                </w:rPr>
                <w:t>7</w:t>
              </w:r>
            </w:hyperlink>
          </w:p>
        </w:tc>
      </w:tr>
      <w:tr>
        <w:trPr/>
        <w:tc>
          <w:tcPr>
            <w:tcW w:w="710" w:type="dxa"/>
            <w:tcBorders/>
            <w:vAlign w:val="center"/>
          </w:tcPr>
          <w:p>
            <w:pPr>
              <w:pStyle w:val="TableContents"/>
              <w:bidi w:val="0"/>
              <w:spacing w:before="0" w:after="283"/>
              <w:jc w:val="left"/>
              <w:rPr/>
            </w:pPr>
            <w:r>
              <w:rPr/>
              <w:t> </w:t>
            </w:r>
          </w:p>
        </w:tc>
        <w:tc>
          <w:tcPr>
            <w:tcW w:w="7280" w:type="dxa"/>
            <w:tcBorders/>
            <w:vAlign w:val="center"/>
          </w:tcPr>
          <w:p>
            <w:pPr>
              <w:pStyle w:val="TableContents"/>
              <w:bidi w:val="0"/>
              <w:spacing w:before="0" w:after="0"/>
              <w:ind w:left="0" w:right="0" w:hanging="0"/>
              <w:jc w:val="left"/>
              <w:rPr/>
            </w:pPr>
            <w:hyperlink w:anchor="notes">
              <w:r>
                <w:rPr>
                  <w:rStyle w:val="InternetLink"/>
                  <w:rFonts w:ascii="Times New Roman" w:hAnsi="Times New Roman"/>
                  <w:caps w:val="false"/>
                  <w:smallCaps w:val="false"/>
                  <w:sz w:val="20"/>
                </w:rPr>
                <w:t>Notes to Unaudited Condensed Consolidated Financial Statements</w:t>
              </w:r>
            </w:hyperlink>
          </w:p>
        </w:tc>
        <w:tc>
          <w:tcPr>
            <w:tcW w:w="440" w:type="dxa"/>
            <w:tcBorders/>
            <w:vAlign w:val="center"/>
          </w:tcPr>
          <w:p>
            <w:pPr>
              <w:pStyle w:val="TableContents"/>
              <w:bidi w:val="0"/>
              <w:spacing w:before="0" w:after="0"/>
              <w:ind w:left="0" w:right="0" w:hanging="0"/>
              <w:jc w:val="center"/>
              <w:rPr/>
            </w:pPr>
            <w:hyperlink w:anchor="notes">
              <w:r>
                <w:rPr>
                  <w:rStyle w:val="InternetLink"/>
                  <w:rFonts w:ascii="Times New Roman" w:hAnsi="Times New Roman"/>
                  <w:caps w:val="false"/>
                  <w:smallCaps w:val="false"/>
                  <w:sz w:val="20"/>
                </w:rPr>
                <w:t>8</w:t>
              </w:r>
            </w:hyperlink>
          </w:p>
        </w:tc>
      </w:tr>
      <w:tr>
        <w:trPr/>
        <w:tc>
          <w:tcPr>
            <w:tcW w:w="71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Item 2.</w:t>
            </w:r>
          </w:p>
        </w:tc>
        <w:tc>
          <w:tcPr>
            <w:tcW w:w="7280" w:type="dxa"/>
            <w:tcBorders/>
            <w:vAlign w:val="center"/>
          </w:tcPr>
          <w:p>
            <w:pPr>
              <w:pStyle w:val="TableContents"/>
              <w:bidi w:val="0"/>
              <w:spacing w:before="0" w:after="0"/>
              <w:ind w:left="0" w:right="0" w:hanging="0"/>
              <w:jc w:val="left"/>
              <w:rPr/>
            </w:pPr>
            <w:hyperlink w:anchor="mda">
              <w:r>
                <w:rPr>
                  <w:rStyle w:val="InternetLink"/>
                  <w:rFonts w:ascii="Times New Roman" w:hAnsi="Times New Roman"/>
                  <w:caps w:val="false"/>
                  <w:smallCaps w:val="false"/>
                  <w:sz w:val="20"/>
                </w:rPr>
                <w:t>Management’s Discussion and Analysis of Financial Condition and Results of Operations</w:t>
              </w:r>
            </w:hyperlink>
          </w:p>
        </w:tc>
        <w:tc>
          <w:tcPr>
            <w:tcW w:w="440" w:type="dxa"/>
            <w:tcBorders/>
            <w:vAlign w:val="center"/>
          </w:tcPr>
          <w:p>
            <w:pPr>
              <w:pStyle w:val="TableContents"/>
              <w:bidi w:val="0"/>
              <w:spacing w:before="0" w:after="0"/>
              <w:ind w:left="0" w:right="0" w:hanging="0"/>
              <w:jc w:val="center"/>
              <w:rPr/>
            </w:pPr>
            <w:hyperlink w:anchor="mda">
              <w:r>
                <w:rPr>
                  <w:rStyle w:val="InternetLink"/>
                  <w:rFonts w:ascii="Times New Roman" w:hAnsi="Times New Roman"/>
                  <w:caps w:val="false"/>
                  <w:smallCaps w:val="false"/>
                  <w:sz w:val="20"/>
                </w:rPr>
                <w:t>19</w:t>
              </w:r>
            </w:hyperlink>
          </w:p>
        </w:tc>
      </w:tr>
      <w:tr>
        <w:trPr/>
        <w:tc>
          <w:tcPr>
            <w:tcW w:w="71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Item 3.</w:t>
            </w:r>
          </w:p>
        </w:tc>
        <w:tc>
          <w:tcPr>
            <w:tcW w:w="7280" w:type="dxa"/>
            <w:tcBorders/>
            <w:vAlign w:val="center"/>
          </w:tcPr>
          <w:p>
            <w:pPr>
              <w:pStyle w:val="TableContents"/>
              <w:bidi w:val="0"/>
              <w:spacing w:before="0" w:after="0"/>
              <w:ind w:left="0" w:right="0" w:hanging="0"/>
              <w:jc w:val="left"/>
              <w:rPr/>
            </w:pPr>
            <w:hyperlink w:anchor="quant">
              <w:r>
                <w:rPr>
                  <w:rStyle w:val="InternetLink"/>
                  <w:rFonts w:ascii="Times New Roman" w:hAnsi="Times New Roman"/>
                  <w:caps w:val="false"/>
                  <w:smallCaps w:val="false"/>
                  <w:sz w:val="20"/>
                </w:rPr>
                <w:t>Quantitative and Qualitative Disclosures About Market Risk</w:t>
              </w:r>
            </w:hyperlink>
          </w:p>
        </w:tc>
        <w:tc>
          <w:tcPr>
            <w:tcW w:w="440" w:type="dxa"/>
            <w:tcBorders/>
            <w:vAlign w:val="center"/>
          </w:tcPr>
          <w:p>
            <w:pPr>
              <w:pStyle w:val="TableContents"/>
              <w:bidi w:val="0"/>
              <w:spacing w:before="0" w:after="0"/>
              <w:ind w:left="0" w:right="0" w:hanging="0"/>
              <w:jc w:val="center"/>
              <w:rPr/>
            </w:pPr>
            <w:hyperlink w:anchor="quant">
              <w:r>
                <w:rPr>
                  <w:rStyle w:val="InternetLink"/>
                  <w:rFonts w:ascii="Times New Roman" w:hAnsi="Times New Roman"/>
                  <w:caps w:val="false"/>
                  <w:smallCaps w:val="false"/>
                  <w:sz w:val="20"/>
                </w:rPr>
                <w:t>27</w:t>
              </w:r>
            </w:hyperlink>
          </w:p>
        </w:tc>
      </w:tr>
      <w:tr>
        <w:trPr/>
        <w:tc>
          <w:tcPr>
            <w:tcW w:w="71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Item 4.</w:t>
            </w:r>
          </w:p>
        </w:tc>
        <w:tc>
          <w:tcPr>
            <w:tcW w:w="7280" w:type="dxa"/>
            <w:tcBorders/>
            <w:vAlign w:val="center"/>
          </w:tcPr>
          <w:p>
            <w:pPr>
              <w:pStyle w:val="TableContents"/>
              <w:bidi w:val="0"/>
              <w:spacing w:before="0" w:after="0"/>
              <w:ind w:left="0" w:right="0" w:hanging="0"/>
              <w:jc w:val="left"/>
              <w:rPr/>
            </w:pPr>
            <w:hyperlink w:anchor="controls">
              <w:r>
                <w:rPr>
                  <w:rStyle w:val="InternetLink"/>
                  <w:rFonts w:ascii="Times New Roman" w:hAnsi="Times New Roman"/>
                  <w:caps w:val="false"/>
                  <w:smallCaps w:val="false"/>
                  <w:sz w:val="20"/>
                </w:rPr>
                <w:t>Controls and Procedures</w:t>
              </w:r>
            </w:hyperlink>
          </w:p>
        </w:tc>
        <w:tc>
          <w:tcPr>
            <w:tcW w:w="440" w:type="dxa"/>
            <w:tcBorders/>
            <w:vAlign w:val="center"/>
          </w:tcPr>
          <w:p>
            <w:pPr>
              <w:pStyle w:val="TableContents"/>
              <w:bidi w:val="0"/>
              <w:spacing w:before="0" w:after="0"/>
              <w:ind w:left="0" w:right="0" w:hanging="0"/>
              <w:jc w:val="center"/>
              <w:rPr/>
            </w:pPr>
            <w:hyperlink w:anchor="controls">
              <w:r>
                <w:rPr>
                  <w:rStyle w:val="InternetLink"/>
                  <w:rFonts w:ascii="Times New Roman" w:hAnsi="Times New Roman"/>
                  <w:caps w:val="false"/>
                  <w:smallCaps w:val="false"/>
                  <w:sz w:val="20"/>
                </w:rPr>
                <w:t>28</w:t>
              </w:r>
            </w:hyperlink>
          </w:p>
        </w:tc>
      </w:tr>
      <w:tr>
        <w:trPr/>
        <w:tc>
          <w:tcPr>
            <w:tcW w:w="710" w:type="dxa"/>
            <w:tcBorders/>
            <w:vAlign w:val="center"/>
          </w:tcPr>
          <w:p>
            <w:pPr>
              <w:pStyle w:val="TableContents"/>
              <w:bidi w:val="0"/>
              <w:spacing w:before="0" w:after="283"/>
              <w:jc w:val="left"/>
              <w:rPr/>
            </w:pPr>
            <w:r>
              <w:rPr/>
              <w:t> </w:t>
            </w:r>
          </w:p>
        </w:tc>
        <w:tc>
          <w:tcPr>
            <w:tcW w:w="7280" w:type="dxa"/>
            <w:tcBorders/>
            <w:vAlign w:val="center"/>
          </w:tcPr>
          <w:p>
            <w:pPr>
              <w:pStyle w:val="TableContents"/>
              <w:bidi w:val="0"/>
              <w:spacing w:before="0" w:after="283"/>
              <w:jc w:val="left"/>
              <w:rPr/>
            </w:pPr>
            <w:r>
              <w:rPr/>
              <w:t> </w:t>
            </w:r>
          </w:p>
        </w:tc>
        <w:tc>
          <w:tcPr>
            <w:tcW w:w="440" w:type="dxa"/>
            <w:tcBorders/>
            <w:vAlign w:val="center"/>
          </w:tcPr>
          <w:p>
            <w:pPr>
              <w:pStyle w:val="TableContents"/>
              <w:bidi w:val="0"/>
              <w:spacing w:before="0" w:after="283"/>
              <w:jc w:val="left"/>
              <w:rPr/>
            </w:pPr>
            <w:r>
              <w:rPr/>
              <w:t> </w:t>
            </w:r>
          </w:p>
        </w:tc>
      </w:tr>
      <w:tr>
        <w:trPr/>
        <w:tc>
          <w:tcPr>
            <w:tcW w:w="710" w:type="dxa"/>
            <w:tcBorders/>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Part II.</w:t>
            </w:r>
          </w:p>
        </w:tc>
        <w:tc>
          <w:tcPr>
            <w:tcW w:w="7280" w:type="dxa"/>
            <w:tcBorders/>
            <w:vAlign w:val="center"/>
          </w:tcPr>
          <w:p>
            <w:pPr>
              <w:pStyle w:val="TableContents"/>
              <w:bidi w:val="0"/>
              <w:spacing w:before="0" w:after="0"/>
              <w:ind w:left="0" w:right="0" w:hanging="0"/>
              <w:jc w:val="left"/>
              <w:rPr/>
            </w:pPr>
            <w:hyperlink w:anchor="parttwootherinfo">
              <w:r>
                <w:rPr>
                  <w:rStyle w:val="InternetLink"/>
                  <w:rFonts w:ascii="Times New Roman" w:hAnsi="Times New Roman"/>
                  <w:caps w:val="false"/>
                  <w:smallCaps w:val="false"/>
                  <w:sz w:val="20"/>
                </w:rPr>
                <w:t>OTHER INFORMATION</w:t>
              </w:r>
            </w:hyperlink>
          </w:p>
        </w:tc>
        <w:tc>
          <w:tcPr>
            <w:tcW w:w="440" w:type="dxa"/>
            <w:tcBorders/>
            <w:vAlign w:val="center"/>
          </w:tcPr>
          <w:p>
            <w:pPr>
              <w:pStyle w:val="TableContents"/>
              <w:bidi w:val="0"/>
              <w:spacing w:before="0" w:after="0"/>
              <w:ind w:left="0" w:right="0" w:hanging="0"/>
              <w:jc w:val="center"/>
              <w:rPr/>
            </w:pPr>
            <w:hyperlink w:anchor="parttwootherinfo">
              <w:r>
                <w:rPr>
                  <w:rStyle w:val="InternetLink"/>
                  <w:rFonts w:ascii="Times New Roman" w:hAnsi="Times New Roman"/>
                  <w:caps w:val="false"/>
                  <w:smallCaps w:val="false"/>
                  <w:sz w:val="20"/>
                </w:rPr>
                <w:t>28</w:t>
              </w:r>
            </w:hyperlink>
          </w:p>
        </w:tc>
      </w:tr>
      <w:tr>
        <w:trPr/>
        <w:tc>
          <w:tcPr>
            <w:tcW w:w="710" w:type="dxa"/>
            <w:tcBorders/>
            <w:vAlign w:val="center"/>
          </w:tcPr>
          <w:p>
            <w:pPr>
              <w:pStyle w:val="TableContents"/>
              <w:bidi w:val="0"/>
              <w:spacing w:before="0" w:after="283"/>
              <w:jc w:val="left"/>
              <w:rPr/>
            </w:pPr>
            <w:r>
              <w:rPr/>
              <w:t> </w:t>
            </w:r>
          </w:p>
        </w:tc>
        <w:tc>
          <w:tcPr>
            <w:tcW w:w="7280" w:type="dxa"/>
            <w:tcBorders/>
            <w:vAlign w:val="center"/>
          </w:tcPr>
          <w:p>
            <w:pPr>
              <w:pStyle w:val="TableContents"/>
              <w:bidi w:val="0"/>
              <w:spacing w:before="0" w:after="283"/>
              <w:jc w:val="left"/>
              <w:rPr/>
            </w:pPr>
            <w:r>
              <w:rPr/>
              <w:t> </w:t>
            </w:r>
          </w:p>
        </w:tc>
        <w:tc>
          <w:tcPr>
            <w:tcW w:w="440" w:type="dxa"/>
            <w:tcBorders/>
            <w:vAlign w:val="center"/>
          </w:tcPr>
          <w:p>
            <w:pPr>
              <w:pStyle w:val="TableContents"/>
              <w:bidi w:val="0"/>
              <w:spacing w:before="0" w:after="283"/>
              <w:jc w:val="left"/>
              <w:rPr/>
            </w:pPr>
            <w:r>
              <w:rPr/>
              <w:t> </w:t>
            </w:r>
          </w:p>
        </w:tc>
      </w:tr>
      <w:tr>
        <w:trPr/>
        <w:tc>
          <w:tcPr>
            <w:tcW w:w="71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Item 1.</w:t>
            </w:r>
          </w:p>
        </w:tc>
        <w:tc>
          <w:tcPr>
            <w:tcW w:w="7280" w:type="dxa"/>
            <w:tcBorders/>
            <w:vAlign w:val="center"/>
          </w:tcPr>
          <w:p>
            <w:pPr>
              <w:pStyle w:val="TableContents"/>
              <w:bidi w:val="0"/>
              <w:spacing w:before="0" w:after="0"/>
              <w:ind w:left="0" w:right="0" w:hanging="0"/>
              <w:jc w:val="left"/>
              <w:rPr/>
            </w:pPr>
            <w:hyperlink w:anchor="legal">
              <w:r>
                <w:rPr>
                  <w:rStyle w:val="InternetLink"/>
                  <w:rFonts w:ascii="Times New Roman" w:hAnsi="Times New Roman"/>
                  <w:caps w:val="false"/>
                  <w:smallCaps w:val="false"/>
                  <w:sz w:val="20"/>
                </w:rPr>
                <w:t>Legal Proceedings</w:t>
              </w:r>
            </w:hyperlink>
          </w:p>
        </w:tc>
        <w:tc>
          <w:tcPr>
            <w:tcW w:w="440" w:type="dxa"/>
            <w:tcBorders/>
            <w:vAlign w:val="center"/>
          </w:tcPr>
          <w:p>
            <w:pPr>
              <w:pStyle w:val="TableContents"/>
              <w:bidi w:val="0"/>
              <w:spacing w:before="0" w:after="0"/>
              <w:ind w:left="0" w:right="0" w:hanging="0"/>
              <w:jc w:val="center"/>
              <w:rPr/>
            </w:pPr>
            <w:hyperlink w:anchor="legal">
              <w:r>
                <w:rPr>
                  <w:rStyle w:val="InternetLink"/>
                  <w:rFonts w:ascii="Times New Roman" w:hAnsi="Times New Roman"/>
                  <w:caps w:val="false"/>
                  <w:smallCaps w:val="false"/>
                  <w:sz w:val="20"/>
                </w:rPr>
                <w:t>28</w:t>
              </w:r>
            </w:hyperlink>
          </w:p>
        </w:tc>
      </w:tr>
      <w:tr>
        <w:trPr/>
        <w:tc>
          <w:tcPr>
            <w:tcW w:w="71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Item 1A.</w:t>
            </w:r>
          </w:p>
        </w:tc>
        <w:tc>
          <w:tcPr>
            <w:tcW w:w="7280" w:type="dxa"/>
            <w:tcBorders/>
            <w:vAlign w:val="center"/>
          </w:tcPr>
          <w:p>
            <w:pPr>
              <w:pStyle w:val="TableContents"/>
              <w:bidi w:val="0"/>
              <w:spacing w:before="0" w:after="0"/>
              <w:ind w:left="0" w:right="0" w:hanging="0"/>
              <w:jc w:val="left"/>
              <w:rPr/>
            </w:pPr>
            <w:hyperlink w:anchor="riskfactors">
              <w:r>
                <w:rPr>
                  <w:rStyle w:val="InternetLink"/>
                  <w:rFonts w:ascii="Times New Roman" w:hAnsi="Times New Roman"/>
                  <w:caps w:val="false"/>
                  <w:smallCaps w:val="false"/>
                  <w:sz w:val="20"/>
                </w:rPr>
                <w:t>Risk Factors</w:t>
              </w:r>
            </w:hyperlink>
          </w:p>
        </w:tc>
        <w:tc>
          <w:tcPr>
            <w:tcW w:w="440" w:type="dxa"/>
            <w:tcBorders/>
            <w:vAlign w:val="center"/>
          </w:tcPr>
          <w:p>
            <w:pPr>
              <w:pStyle w:val="TableContents"/>
              <w:bidi w:val="0"/>
              <w:spacing w:before="0" w:after="0"/>
              <w:ind w:left="0" w:right="0" w:hanging="0"/>
              <w:jc w:val="center"/>
              <w:rPr/>
            </w:pPr>
            <w:hyperlink w:anchor="riskfactors">
              <w:r>
                <w:rPr>
                  <w:rStyle w:val="InternetLink"/>
                  <w:rFonts w:ascii="Times New Roman" w:hAnsi="Times New Roman"/>
                  <w:caps w:val="false"/>
                  <w:smallCaps w:val="false"/>
                  <w:sz w:val="20"/>
                </w:rPr>
                <w:t>28</w:t>
              </w:r>
            </w:hyperlink>
          </w:p>
        </w:tc>
      </w:tr>
      <w:tr>
        <w:trPr/>
        <w:tc>
          <w:tcPr>
            <w:tcW w:w="71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Item 2.</w:t>
            </w:r>
          </w:p>
        </w:tc>
        <w:tc>
          <w:tcPr>
            <w:tcW w:w="7280" w:type="dxa"/>
            <w:tcBorders/>
            <w:vAlign w:val="center"/>
          </w:tcPr>
          <w:p>
            <w:pPr>
              <w:pStyle w:val="TableContents"/>
              <w:bidi w:val="0"/>
              <w:spacing w:before="0" w:after="0"/>
              <w:ind w:left="0" w:right="0" w:hanging="0"/>
              <w:jc w:val="left"/>
              <w:rPr/>
            </w:pPr>
            <w:hyperlink w:anchor="Unregistered">
              <w:r>
                <w:rPr>
                  <w:rStyle w:val="InternetLink"/>
                  <w:rFonts w:ascii="Times New Roman" w:hAnsi="Times New Roman"/>
                  <w:caps w:val="false"/>
                  <w:smallCaps w:val="false"/>
                  <w:sz w:val="20"/>
                </w:rPr>
                <w:t>Unregistered Sales of Equity Securities and Use of Proceeds</w:t>
              </w:r>
            </w:hyperlink>
          </w:p>
        </w:tc>
        <w:tc>
          <w:tcPr>
            <w:tcW w:w="440" w:type="dxa"/>
            <w:tcBorders/>
            <w:vAlign w:val="center"/>
          </w:tcPr>
          <w:p>
            <w:pPr>
              <w:pStyle w:val="TableContents"/>
              <w:bidi w:val="0"/>
              <w:spacing w:before="0" w:after="0"/>
              <w:ind w:left="0" w:right="0" w:hanging="0"/>
              <w:jc w:val="center"/>
              <w:rPr/>
            </w:pPr>
            <w:hyperlink w:anchor="Unregistered">
              <w:r>
                <w:rPr>
                  <w:rStyle w:val="InternetLink"/>
                  <w:rFonts w:ascii="Times New Roman" w:hAnsi="Times New Roman"/>
                  <w:caps w:val="false"/>
                  <w:smallCaps w:val="false"/>
                  <w:sz w:val="20"/>
                </w:rPr>
                <w:t>29</w:t>
              </w:r>
            </w:hyperlink>
          </w:p>
        </w:tc>
      </w:tr>
      <w:tr>
        <w:trPr/>
        <w:tc>
          <w:tcPr>
            <w:tcW w:w="71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Item 3.</w:t>
            </w:r>
          </w:p>
        </w:tc>
        <w:tc>
          <w:tcPr>
            <w:tcW w:w="7280" w:type="dxa"/>
            <w:tcBorders/>
            <w:vAlign w:val="center"/>
          </w:tcPr>
          <w:p>
            <w:pPr>
              <w:pStyle w:val="TableContents"/>
              <w:bidi w:val="0"/>
              <w:spacing w:before="0" w:after="0"/>
              <w:ind w:left="0" w:right="0" w:hanging="0"/>
              <w:jc w:val="left"/>
              <w:rPr/>
            </w:pPr>
            <w:hyperlink w:anchor="defaults">
              <w:r>
                <w:rPr>
                  <w:rStyle w:val="InternetLink"/>
                  <w:rFonts w:ascii="Times New Roman" w:hAnsi="Times New Roman"/>
                  <w:caps w:val="false"/>
                  <w:smallCaps w:val="false"/>
                  <w:sz w:val="20"/>
                </w:rPr>
                <w:t>Defaults Upon Senior Securities</w:t>
              </w:r>
            </w:hyperlink>
          </w:p>
        </w:tc>
        <w:tc>
          <w:tcPr>
            <w:tcW w:w="440" w:type="dxa"/>
            <w:tcBorders/>
            <w:vAlign w:val="center"/>
          </w:tcPr>
          <w:p>
            <w:pPr>
              <w:pStyle w:val="TableContents"/>
              <w:bidi w:val="0"/>
              <w:spacing w:before="0" w:after="0"/>
              <w:ind w:left="0" w:right="0" w:hanging="0"/>
              <w:jc w:val="center"/>
              <w:rPr/>
            </w:pPr>
            <w:hyperlink w:anchor="defaults">
              <w:r>
                <w:rPr>
                  <w:rStyle w:val="InternetLink"/>
                  <w:rFonts w:ascii="Times New Roman" w:hAnsi="Times New Roman"/>
                  <w:caps w:val="false"/>
                  <w:smallCaps w:val="false"/>
                  <w:sz w:val="20"/>
                </w:rPr>
                <w:t>29</w:t>
              </w:r>
            </w:hyperlink>
          </w:p>
        </w:tc>
      </w:tr>
      <w:tr>
        <w:trPr/>
        <w:tc>
          <w:tcPr>
            <w:tcW w:w="71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Item 4.</w:t>
            </w:r>
          </w:p>
        </w:tc>
        <w:tc>
          <w:tcPr>
            <w:tcW w:w="7280" w:type="dxa"/>
            <w:tcBorders/>
            <w:vAlign w:val="center"/>
          </w:tcPr>
          <w:p>
            <w:pPr>
              <w:pStyle w:val="TableContents"/>
              <w:bidi w:val="0"/>
              <w:spacing w:before="0" w:after="0"/>
              <w:ind w:left="0" w:right="0" w:hanging="0"/>
              <w:jc w:val="left"/>
              <w:rPr/>
            </w:pPr>
            <w:hyperlink w:anchor="mine">
              <w:r>
                <w:rPr>
                  <w:rStyle w:val="InternetLink"/>
                  <w:rFonts w:ascii="Times New Roman" w:hAnsi="Times New Roman"/>
                  <w:caps w:val="false"/>
                  <w:smallCaps w:val="false"/>
                  <w:sz w:val="20"/>
                </w:rPr>
                <w:t>Mine Safety Disclosures</w:t>
              </w:r>
            </w:hyperlink>
          </w:p>
        </w:tc>
        <w:tc>
          <w:tcPr>
            <w:tcW w:w="440" w:type="dxa"/>
            <w:tcBorders/>
            <w:vAlign w:val="center"/>
          </w:tcPr>
          <w:p>
            <w:pPr>
              <w:pStyle w:val="TableContents"/>
              <w:bidi w:val="0"/>
              <w:spacing w:before="0" w:after="0"/>
              <w:ind w:left="0" w:right="0" w:hanging="0"/>
              <w:jc w:val="center"/>
              <w:rPr/>
            </w:pPr>
            <w:hyperlink w:anchor="mine">
              <w:r>
                <w:rPr>
                  <w:rStyle w:val="InternetLink"/>
                  <w:rFonts w:ascii="Times New Roman" w:hAnsi="Times New Roman"/>
                  <w:caps w:val="false"/>
                  <w:smallCaps w:val="false"/>
                  <w:sz w:val="20"/>
                </w:rPr>
                <w:t>29</w:t>
              </w:r>
            </w:hyperlink>
          </w:p>
        </w:tc>
      </w:tr>
      <w:tr>
        <w:trPr/>
        <w:tc>
          <w:tcPr>
            <w:tcW w:w="71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Item 5.</w:t>
            </w:r>
          </w:p>
        </w:tc>
        <w:tc>
          <w:tcPr>
            <w:tcW w:w="7280" w:type="dxa"/>
            <w:tcBorders/>
            <w:vAlign w:val="center"/>
          </w:tcPr>
          <w:p>
            <w:pPr>
              <w:pStyle w:val="TableContents"/>
              <w:bidi w:val="0"/>
              <w:spacing w:before="0" w:after="0"/>
              <w:ind w:left="0" w:right="0" w:hanging="0"/>
              <w:jc w:val="left"/>
              <w:rPr/>
            </w:pPr>
            <w:hyperlink w:anchor="otherinfo">
              <w:r>
                <w:rPr>
                  <w:rStyle w:val="InternetLink"/>
                  <w:rFonts w:ascii="Times New Roman" w:hAnsi="Times New Roman"/>
                  <w:caps w:val="false"/>
                  <w:smallCaps w:val="false"/>
                  <w:sz w:val="20"/>
                </w:rPr>
                <w:t>Other Information</w:t>
              </w:r>
            </w:hyperlink>
          </w:p>
        </w:tc>
        <w:tc>
          <w:tcPr>
            <w:tcW w:w="440" w:type="dxa"/>
            <w:tcBorders/>
            <w:vAlign w:val="center"/>
          </w:tcPr>
          <w:p>
            <w:pPr>
              <w:pStyle w:val="TableContents"/>
              <w:bidi w:val="0"/>
              <w:spacing w:before="0" w:after="0"/>
              <w:ind w:left="0" w:right="0" w:hanging="0"/>
              <w:jc w:val="center"/>
              <w:rPr/>
            </w:pPr>
            <w:hyperlink w:anchor="otherinfo">
              <w:r>
                <w:rPr>
                  <w:rStyle w:val="InternetLink"/>
                  <w:rFonts w:ascii="Times New Roman" w:hAnsi="Times New Roman"/>
                  <w:caps w:val="false"/>
                  <w:smallCaps w:val="false"/>
                  <w:sz w:val="20"/>
                </w:rPr>
                <w:t>29</w:t>
              </w:r>
            </w:hyperlink>
          </w:p>
        </w:tc>
      </w:tr>
      <w:tr>
        <w:trPr/>
        <w:tc>
          <w:tcPr>
            <w:tcW w:w="71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Item 6.</w:t>
            </w:r>
          </w:p>
        </w:tc>
        <w:tc>
          <w:tcPr>
            <w:tcW w:w="7280" w:type="dxa"/>
            <w:tcBorders/>
            <w:vAlign w:val="center"/>
          </w:tcPr>
          <w:p>
            <w:pPr>
              <w:pStyle w:val="TableContents"/>
              <w:bidi w:val="0"/>
              <w:spacing w:before="0" w:after="0"/>
              <w:ind w:left="0" w:right="0" w:hanging="0"/>
              <w:jc w:val="left"/>
              <w:rPr/>
            </w:pPr>
            <w:hyperlink w:anchor="exhibits">
              <w:r>
                <w:rPr>
                  <w:rStyle w:val="InternetLink"/>
                  <w:rFonts w:ascii="Times New Roman" w:hAnsi="Times New Roman"/>
                  <w:caps w:val="false"/>
                  <w:smallCaps w:val="false"/>
                  <w:sz w:val="20"/>
                </w:rPr>
                <w:t>Exhibits</w:t>
              </w:r>
            </w:hyperlink>
          </w:p>
        </w:tc>
        <w:tc>
          <w:tcPr>
            <w:tcW w:w="440" w:type="dxa"/>
            <w:tcBorders/>
            <w:vAlign w:val="center"/>
          </w:tcPr>
          <w:p>
            <w:pPr>
              <w:pStyle w:val="TableContents"/>
              <w:bidi w:val="0"/>
              <w:spacing w:before="0" w:after="0"/>
              <w:ind w:left="0" w:right="0" w:hanging="0"/>
              <w:jc w:val="center"/>
              <w:rPr/>
            </w:pPr>
            <w:hyperlink w:anchor="exhibits">
              <w:r>
                <w:rPr>
                  <w:rStyle w:val="InternetLink"/>
                  <w:rFonts w:ascii="Times New Roman" w:hAnsi="Times New Roman"/>
                  <w:caps w:val="false"/>
                  <w:smallCaps w:val="false"/>
                  <w:sz w:val="20"/>
                </w:rPr>
                <w:t>30</w:t>
              </w:r>
            </w:hyperlink>
          </w:p>
        </w:tc>
      </w:tr>
      <w:tr>
        <w:trPr/>
        <w:tc>
          <w:tcPr>
            <w:tcW w:w="710" w:type="dxa"/>
            <w:tcBorders/>
            <w:vAlign w:val="center"/>
          </w:tcPr>
          <w:p>
            <w:pPr>
              <w:pStyle w:val="TableContents"/>
              <w:bidi w:val="0"/>
              <w:spacing w:before="0" w:after="283"/>
              <w:jc w:val="left"/>
              <w:rPr/>
            </w:pPr>
            <w:r>
              <w:rPr/>
              <w:t> </w:t>
            </w:r>
          </w:p>
        </w:tc>
        <w:tc>
          <w:tcPr>
            <w:tcW w:w="7280" w:type="dxa"/>
            <w:tcBorders/>
            <w:vAlign w:val="center"/>
          </w:tcPr>
          <w:p>
            <w:pPr>
              <w:pStyle w:val="TableContents"/>
              <w:bidi w:val="0"/>
              <w:spacing w:before="0" w:after="283"/>
              <w:jc w:val="left"/>
              <w:rPr/>
            </w:pPr>
            <w:r>
              <w:rPr/>
              <w:t> </w:t>
            </w:r>
          </w:p>
        </w:tc>
        <w:tc>
          <w:tcPr>
            <w:tcW w:w="440" w:type="dxa"/>
            <w:tcBorders/>
            <w:vAlign w:val="center"/>
          </w:tcPr>
          <w:p>
            <w:pPr>
              <w:pStyle w:val="TableContents"/>
              <w:bidi w:val="0"/>
              <w:spacing w:before="0" w:after="283"/>
              <w:jc w:val="left"/>
              <w:rPr/>
            </w:pPr>
            <w:r>
              <w:rPr/>
              <w:t> </w:t>
            </w:r>
          </w:p>
        </w:tc>
      </w:tr>
      <w:tr>
        <w:trPr/>
        <w:tc>
          <w:tcPr>
            <w:tcW w:w="7990" w:type="dxa"/>
            <w:gridSpan w:val="2"/>
            <w:tcBorders/>
            <w:vAlign w:val="center"/>
          </w:tcPr>
          <w:p>
            <w:pPr>
              <w:pStyle w:val="TableContents"/>
              <w:bidi w:val="0"/>
              <w:spacing w:before="0" w:after="0"/>
              <w:ind w:left="0" w:right="0" w:hanging="0"/>
              <w:jc w:val="left"/>
              <w:rPr/>
            </w:pPr>
            <w:hyperlink w:anchor="sigs">
              <w:r>
                <w:rPr>
                  <w:rStyle w:val="InternetLink"/>
                  <w:rFonts w:ascii="Times New Roman" w:hAnsi="Times New Roman"/>
                  <w:caps w:val="false"/>
                  <w:smallCaps w:val="false"/>
                  <w:sz w:val="20"/>
                </w:rPr>
                <w:t>Signatures</w:t>
              </w:r>
            </w:hyperlink>
          </w:p>
        </w:tc>
        <w:tc>
          <w:tcPr>
            <w:tcW w:w="440" w:type="dxa"/>
            <w:tcBorders/>
            <w:vAlign w:val="center"/>
          </w:tcPr>
          <w:p>
            <w:pPr>
              <w:pStyle w:val="TableContents"/>
              <w:bidi w:val="0"/>
              <w:spacing w:before="0" w:after="0"/>
              <w:ind w:left="0" w:right="0" w:hanging="0"/>
              <w:jc w:val="center"/>
              <w:rPr/>
            </w:pPr>
            <w:hyperlink w:anchor="sigs">
              <w:r>
                <w:rPr>
                  <w:rStyle w:val="InternetLink"/>
                  <w:rFonts w:ascii="Times New Roman" w:hAnsi="Times New Roman"/>
                  <w:caps w:val="false"/>
                  <w:smallCaps w:val="false"/>
                  <w:sz w:val="20"/>
                </w:rPr>
                <w:t>31</w:t>
              </w:r>
            </w:hyperlink>
          </w:p>
        </w:tc>
      </w:tr>
    </w:tbl>
    <w:p>
      <w:pPr>
        <w:pStyle w:val="TextBody"/>
        <w:bidi w:val="0"/>
        <w:spacing w:before="0" w:after="283"/>
        <w:jc w:val="left"/>
        <w:rPr/>
      </w:pPr>
      <w:r>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2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283"/>
        <w:jc w:val="left"/>
        <w:rPr/>
      </w:pPr>
      <w:r>
        <w:rPr/>
        <w:t xml:space="preserve">  </w:t>
      </w:r>
    </w:p>
    <w:p>
      <w:pPr>
        <w:pStyle w:val="TextBody"/>
        <w:bidi w:val="0"/>
        <w:spacing w:before="0" w:after="0"/>
        <w:ind w:left="0" w:right="0" w:hanging="0"/>
        <w:jc w:val="center"/>
        <w:rPr>
          <w:rFonts w:ascii="Times New Roman" w:hAnsi="Times New Roman"/>
          <w:b/>
          <w:caps w:val="false"/>
          <w:smallCaps w:val="false"/>
          <w:sz w:val="20"/>
        </w:rPr>
      </w:pPr>
      <w:bookmarkStart w:id="3" w:name="cautionary"/>
      <w:bookmarkEnd w:id="3"/>
      <w:r>
        <w:rPr>
          <w:rFonts w:ascii="Times New Roman" w:hAnsi="Times New Roman"/>
          <w:b/>
          <w:caps w:val="false"/>
          <w:smallCaps w:val="false"/>
          <w:sz w:val="20"/>
        </w:rPr>
        <w:t>CAUTIONARY STATEMENT REGARDING FORWARD-LOOKING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This Quarterly Report on Form 10-Q (this “Report” or “Form 10-Q”), including “Management’s Discussion and Analysis of Financial Condition and Results of Operations,” contains “forward-looking statements” within the meaning of the federal securities laws, including Section 27A of the Securities Act of 1933, as amended, Section 21E of the Securities Exchange Act of 1934, as amended (the “Exchange Act”) and the Private Securities Litigation Reform Act of 1995. All statements other than statements of historical facts are forward-looking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Examples of forward-looking statements in this Report include:</w:t>
      </w:r>
    </w:p>
    <w:p>
      <w:pPr>
        <w:pStyle w:val="TextBody"/>
        <w:bidi w:val="0"/>
        <w:spacing w:before="0" w:after="0"/>
        <w:ind w:left="0" w:right="0" w:hanging="0"/>
        <w:jc w:val="left"/>
        <w:rPr>
          <w:caps w:val="false"/>
          <w:smallCaps w:val="false"/>
        </w:rPr>
      </w:pPr>
      <w:r>
        <w:rPr>
          <w:caps w:val="false"/>
          <w:smallCaps w:val="false"/>
        </w:rPr>
        <w:t> </w:t>
      </w:r>
    </w:p>
    <w:tbl>
      <w:tblPr>
        <w:tblW w:w="9160" w:type="dxa"/>
        <w:jc w:val="left"/>
        <w:tblInd w:w="0" w:type="dxa"/>
        <w:tblLayout w:type="fixed"/>
        <w:tblCellMar>
          <w:top w:w="0" w:type="dxa"/>
          <w:left w:w="0" w:type="dxa"/>
          <w:bottom w:w="0" w:type="dxa"/>
          <w:right w:w="0" w:type="dxa"/>
        </w:tblCellMar>
      </w:tblPr>
      <w:tblGrid>
        <w:gridCol w:w="170"/>
        <w:gridCol w:w="8990"/>
      </w:tblGrid>
      <w:tr>
        <w:trPr/>
        <w:tc>
          <w:tcPr>
            <w:tcW w:w="17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8990"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planned capital expenditures for industrial gas, oil and natural gas exploration and environmental compliance;</w:t>
            </w:r>
          </w:p>
        </w:tc>
      </w:tr>
    </w:tbl>
    <w:p>
      <w:pPr>
        <w:pStyle w:val="TextBody"/>
        <w:bidi w:val="0"/>
        <w:spacing w:before="0" w:after="0"/>
        <w:ind w:left="0" w:right="0" w:hanging="0"/>
        <w:jc w:val="both"/>
        <w:rPr/>
      </w:pPr>
      <w:r>
        <w:rPr/>
        <w:t> </w:t>
      </w:r>
    </w:p>
    <w:tbl>
      <w:tblPr>
        <w:tblW w:w="7840" w:type="dxa"/>
        <w:jc w:val="left"/>
        <w:tblInd w:w="0" w:type="dxa"/>
        <w:tblLayout w:type="fixed"/>
        <w:tblCellMar>
          <w:top w:w="0" w:type="dxa"/>
          <w:left w:w="0" w:type="dxa"/>
          <w:bottom w:w="0" w:type="dxa"/>
          <w:right w:w="0" w:type="dxa"/>
        </w:tblCellMar>
      </w:tblPr>
      <w:tblGrid>
        <w:gridCol w:w="170"/>
        <w:gridCol w:w="7670"/>
      </w:tblGrid>
      <w:tr>
        <w:trPr/>
        <w:tc>
          <w:tcPr>
            <w:tcW w:w="17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7670"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potential drilling locations and available spacing units, and possible changes in spacing rules;</w:t>
            </w:r>
          </w:p>
        </w:tc>
      </w:tr>
    </w:tbl>
    <w:p>
      <w:pPr>
        <w:pStyle w:val="TextBody"/>
        <w:bidi w:val="0"/>
        <w:spacing w:before="0" w:after="0"/>
        <w:ind w:left="0" w:right="0" w:hanging="0"/>
        <w:jc w:val="both"/>
        <w:rPr/>
      </w:pPr>
      <w:r>
        <w:rPr/>
        <w:t> </w:t>
      </w:r>
    </w:p>
    <w:tbl>
      <w:tblPr>
        <w:tblW w:w="7165" w:type="dxa"/>
        <w:jc w:val="left"/>
        <w:tblInd w:w="0" w:type="dxa"/>
        <w:tblLayout w:type="fixed"/>
        <w:tblCellMar>
          <w:top w:w="0" w:type="dxa"/>
          <w:left w:w="0" w:type="dxa"/>
          <w:bottom w:w="0" w:type="dxa"/>
          <w:right w:w="0" w:type="dxa"/>
        </w:tblCellMar>
      </w:tblPr>
      <w:tblGrid>
        <w:gridCol w:w="170"/>
        <w:gridCol w:w="6995"/>
      </w:tblGrid>
      <w:tr>
        <w:trPr/>
        <w:tc>
          <w:tcPr>
            <w:tcW w:w="17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699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cash expected to be available for capital expenditures and to satisfy other obligations;</w:t>
            </w:r>
          </w:p>
        </w:tc>
      </w:tr>
    </w:tbl>
    <w:p>
      <w:pPr>
        <w:pStyle w:val="TextBody"/>
        <w:bidi w:val="0"/>
        <w:spacing w:before="0" w:after="0"/>
        <w:ind w:left="0" w:right="0" w:hanging="0"/>
        <w:jc w:val="both"/>
        <w:rPr/>
      </w:pPr>
      <w:r>
        <w:rPr/>
        <w:t> </w:t>
      </w:r>
    </w:p>
    <w:tbl>
      <w:tblPr>
        <w:tblW w:w="8590" w:type="dxa"/>
        <w:jc w:val="left"/>
        <w:tblInd w:w="0" w:type="dxa"/>
        <w:tblLayout w:type="fixed"/>
        <w:tblCellMar>
          <w:top w:w="0" w:type="dxa"/>
          <w:left w:w="0" w:type="dxa"/>
          <w:bottom w:w="0" w:type="dxa"/>
          <w:right w:w="0" w:type="dxa"/>
        </w:tblCellMar>
      </w:tblPr>
      <w:tblGrid>
        <w:gridCol w:w="170"/>
        <w:gridCol w:w="8420"/>
      </w:tblGrid>
      <w:tr>
        <w:trPr/>
        <w:tc>
          <w:tcPr>
            <w:tcW w:w="17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8420"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recovered volumes and values of industrial gas, oil and natural gas approximating third-party estimates;</w:t>
            </w:r>
          </w:p>
        </w:tc>
      </w:tr>
    </w:tbl>
    <w:p>
      <w:pPr>
        <w:pStyle w:val="TextBody"/>
        <w:bidi w:val="0"/>
        <w:spacing w:before="0" w:after="0"/>
        <w:ind w:left="0" w:right="0" w:hanging="0"/>
        <w:jc w:val="both"/>
        <w:rPr/>
      </w:pPr>
      <w:r>
        <w:rPr/>
        <w:t> </w:t>
      </w:r>
    </w:p>
    <w:tbl>
      <w:tblPr>
        <w:tblW w:w="6580" w:type="dxa"/>
        <w:jc w:val="left"/>
        <w:tblInd w:w="0" w:type="dxa"/>
        <w:tblLayout w:type="fixed"/>
        <w:tblCellMar>
          <w:top w:w="0" w:type="dxa"/>
          <w:left w:w="0" w:type="dxa"/>
          <w:bottom w:w="0" w:type="dxa"/>
          <w:right w:w="0" w:type="dxa"/>
        </w:tblCellMar>
      </w:tblPr>
      <w:tblGrid>
        <w:gridCol w:w="170"/>
        <w:gridCol w:w="6410"/>
      </w:tblGrid>
      <w:tr>
        <w:trPr/>
        <w:tc>
          <w:tcPr>
            <w:tcW w:w="17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6410"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anticipated changes in oil and natural gas and future industrial gas production;</w:t>
            </w:r>
          </w:p>
        </w:tc>
      </w:tr>
    </w:tbl>
    <w:p>
      <w:pPr>
        <w:pStyle w:val="TextBody"/>
        <w:bidi w:val="0"/>
        <w:spacing w:before="0" w:after="0"/>
        <w:ind w:left="0" w:right="0" w:hanging="0"/>
        <w:jc w:val="both"/>
        <w:rPr/>
      </w:pPr>
      <w:r>
        <w:rPr/>
        <w:t> </w:t>
      </w:r>
    </w:p>
    <w:tbl>
      <w:tblPr>
        <w:tblW w:w="4465" w:type="dxa"/>
        <w:jc w:val="left"/>
        <w:tblInd w:w="0" w:type="dxa"/>
        <w:tblLayout w:type="fixed"/>
        <w:tblCellMar>
          <w:top w:w="0" w:type="dxa"/>
          <w:left w:w="0" w:type="dxa"/>
          <w:bottom w:w="0" w:type="dxa"/>
          <w:right w:w="0" w:type="dxa"/>
        </w:tblCellMar>
      </w:tblPr>
      <w:tblGrid>
        <w:gridCol w:w="170"/>
        <w:gridCol w:w="4295"/>
      </w:tblGrid>
      <w:tr>
        <w:trPr/>
        <w:tc>
          <w:tcPr>
            <w:tcW w:w="17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429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drilling and completion activities and opportunities;</w:t>
            </w:r>
          </w:p>
        </w:tc>
      </w:tr>
    </w:tbl>
    <w:p>
      <w:pPr>
        <w:pStyle w:val="TextBody"/>
        <w:bidi w:val="0"/>
        <w:spacing w:before="0" w:after="0"/>
        <w:ind w:left="0" w:right="0" w:hanging="0"/>
        <w:jc w:val="both"/>
        <w:rPr/>
      </w:pPr>
      <w:r>
        <w:rPr/>
        <w:t> </w:t>
      </w:r>
    </w:p>
    <w:tbl>
      <w:tblPr>
        <w:tblW w:w="7900" w:type="dxa"/>
        <w:jc w:val="left"/>
        <w:tblInd w:w="0" w:type="dxa"/>
        <w:tblLayout w:type="fixed"/>
        <w:tblCellMar>
          <w:top w:w="0" w:type="dxa"/>
          <w:left w:w="0" w:type="dxa"/>
          <w:bottom w:w="0" w:type="dxa"/>
          <w:right w:w="0" w:type="dxa"/>
        </w:tblCellMar>
      </w:tblPr>
      <w:tblGrid>
        <w:gridCol w:w="170"/>
        <w:gridCol w:w="7730"/>
      </w:tblGrid>
      <w:tr>
        <w:trPr/>
        <w:tc>
          <w:tcPr>
            <w:tcW w:w="17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7730"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timing of drilling additional wells and performing other exploration and development projects;</w:t>
            </w:r>
          </w:p>
        </w:tc>
      </w:tr>
    </w:tbl>
    <w:p>
      <w:pPr>
        <w:pStyle w:val="TextBody"/>
        <w:bidi w:val="0"/>
        <w:spacing w:before="0" w:after="0"/>
        <w:ind w:left="0" w:right="0" w:hanging="0"/>
        <w:jc w:val="both"/>
        <w:rPr/>
      </w:pPr>
      <w:r>
        <w:rPr/>
        <w:t> </w:t>
      </w:r>
    </w:p>
    <w:tbl>
      <w:tblPr>
        <w:tblW w:w="6805" w:type="dxa"/>
        <w:jc w:val="left"/>
        <w:tblInd w:w="0" w:type="dxa"/>
        <w:tblLayout w:type="fixed"/>
        <w:tblCellMar>
          <w:top w:w="0" w:type="dxa"/>
          <w:left w:w="0" w:type="dxa"/>
          <w:bottom w:w="0" w:type="dxa"/>
          <w:right w:w="0" w:type="dxa"/>
        </w:tblCellMar>
      </w:tblPr>
      <w:tblGrid>
        <w:gridCol w:w="170"/>
        <w:gridCol w:w="6635"/>
      </w:tblGrid>
      <w:tr>
        <w:trPr/>
        <w:tc>
          <w:tcPr>
            <w:tcW w:w="17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663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expected spacing and the number of wells to be drilled with our industry partners;</w:t>
            </w:r>
          </w:p>
        </w:tc>
      </w:tr>
    </w:tbl>
    <w:p>
      <w:pPr>
        <w:pStyle w:val="TextBody"/>
        <w:bidi w:val="0"/>
        <w:spacing w:before="0" w:after="0"/>
        <w:ind w:left="0" w:right="0" w:hanging="0"/>
        <w:jc w:val="both"/>
        <w:rPr/>
      </w:pPr>
      <w:r>
        <w:rPr/>
        <w:t> </w:t>
      </w:r>
    </w:p>
    <w:tbl>
      <w:tblPr>
        <w:tblW w:w="9940" w:type="dxa"/>
        <w:jc w:val="left"/>
        <w:tblInd w:w="0" w:type="dxa"/>
        <w:tblLayout w:type="fixed"/>
        <w:tblCellMar>
          <w:top w:w="0" w:type="dxa"/>
          <w:left w:w="0" w:type="dxa"/>
          <w:bottom w:w="0" w:type="dxa"/>
          <w:right w:w="0" w:type="dxa"/>
        </w:tblCellMar>
      </w:tblPr>
      <w:tblGrid>
        <w:gridCol w:w="170"/>
        <w:gridCol w:w="9770"/>
      </w:tblGrid>
      <w:tr>
        <w:trPr/>
        <w:tc>
          <w:tcPr>
            <w:tcW w:w="17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9770"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when payout-based milestones or similar thresholds will be reached for the purposes of our agreements with our partners;</w:t>
            </w:r>
          </w:p>
        </w:tc>
      </w:tr>
    </w:tbl>
    <w:p>
      <w:pPr>
        <w:pStyle w:val="TextBody"/>
        <w:bidi w:val="0"/>
        <w:spacing w:before="0" w:after="0"/>
        <w:ind w:left="0" w:right="0" w:hanging="0"/>
        <w:jc w:val="both"/>
        <w:rPr/>
      </w:pPr>
      <w:r>
        <w:rPr/>
        <w:t> </w:t>
      </w:r>
    </w:p>
    <w:tbl>
      <w:tblPr>
        <w:tblW w:w="9370" w:type="dxa"/>
        <w:jc w:val="left"/>
        <w:tblInd w:w="0" w:type="dxa"/>
        <w:tblLayout w:type="fixed"/>
        <w:tblCellMar>
          <w:top w:w="0" w:type="dxa"/>
          <w:left w:w="0" w:type="dxa"/>
          <w:bottom w:w="0" w:type="dxa"/>
          <w:right w:w="0" w:type="dxa"/>
        </w:tblCellMar>
      </w:tblPr>
      <w:tblGrid>
        <w:gridCol w:w="170"/>
        <w:gridCol w:w="9200"/>
      </w:tblGrid>
      <w:tr>
        <w:trPr/>
        <w:tc>
          <w:tcPr>
            <w:tcW w:w="17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9200"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expected working and net revenue interests, and costs of wells, relating to the drilling programs with our partners;</w:t>
            </w:r>
          </w:p>
        </w:tc>
      </w:tr>
    </w:tbl>
    <w:p>
      <w:pPr>
        <w:pStyle w:val="TextBody"/>
        <w:bidi w:val="0"/>
        <w:spacing w:before="0" w:after="0"/>
        <w:ind w:left="0" w:right="0" w:hanging="0"/>
        <w:jc w:val="both"/>
        <w:rPr/>
      </w:pPr>
      <w:r>
        <w:rPr/>
        <w:t> </w:t>
      </w:r>
    </w:p>
    <w:tbl>
      <w:tblPr>
        <w:tblW w:w="3430" w:type="dxa"/>
        <w:jc w:val="left"/>
        <w:tblInd w:w="0" w:type="dxa"/>
        <w:tblLayout w:type="fixed"/>
        <w:tblCellMar>
          <w:top w:w="0" w:type="dxa"/>
          <w:left w:w="0" w:type="dxa"/>
          <w:bottom w:w="0" w:type="dxa"/>
          <w:right w:w="0" w:type="dxa"/>
        </w:tblCellMar>
      </w:tblPr>
      <w:tblGrid>
        <w:gridCol w:w="170"/>
        <w:gridCol w:w="3260"/>
      </w:tblGrid>
      <w:tr>
        <w:trPr/>
        <w:tc>
          <w:tcPr>
            <w:tcW w:w="17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3260"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actual decline rates for producing wells;</w:t>
            </w:r>
          </w:p>
        </w:tc>
      </w:tr>
    </w:tbl>
    <w:p>
      <w:pPr>
        <w:pStyle w:val="TextBody"/>
        <w:bidi w:val="0"/>
        <w:spacing w:before="0" w:after="0"/>
        <w:ind w:left="0" w:right="0" w:hanging="0"/>
        <w:jc w:val="both"/>
        <w:rPr/>
      </w:pPr>
      <w:r>
        <w:rPr/>
        <w:t> </w:t>
      </w:r>
    </w:p>
    <w:tbl>
      <w:tblPr>
        <w:tblW w:w="3745" w:type="dxa"/>
        <w:jc w:val="left"/>
        <w:tblInd w:w="0" w:type="dxa"/>
        <w:tblLayout w:type="fixed"/>
        <w:tblCellMar>
          <w:top w:w="0" w:type="dxa"/>
          <w:left w:w="0" w:type="dxa"/>
          <w:bottom w:w="0" w:type="dxa"/>
          <w:right w:w="0" w:type="dxa"/>
        </w:tblCellMar>
      </w:tblPr>
      <w:tblGrid>
        <w:gridCol w:w="170"/>
        <w:gridCol w:w="3575"/>
      </w:tblGrid>
      <w:tr>
        <w:trPr/>
        <w:tc>
          <w:tcPr>
            <w:tcW w:w="17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357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future cash flows, expenses and borrowings;</w:t>
            </w:r>
          </w:p>
        </w:tc>
      </w:tr>
    </w:tbl>
    <w:p>
      <w:pPr>
        <w:pStyle w:val="TextBody"/>
        <w:bidi w:val="0"/>
        <w:spacing w:before="0" w:after="0"/>
        <w:ind w:left="0" w:right="0" w:hanging="0"/>
        <w:jc w:val="both"/>
        <w:rPr/>
      </w:pPr>
      <w:r>
        <w:rPr/>
        <w:t> </w:t>
      </w:r>
    </w:p>
    <w:tbl>
      <w:tblPr>
        <w:tblW w:w="3910" w:type="dxa"/>
        <w:jc w:val="left"/>
        <w:tblInd w:w="0" w:type="dxa"/>
        <w:tblLayout w:type="fixed"/>
        <w:tblCellMar>
          <w:top w:w="0" w:type="dxa"/>
          <w:left w:w="0" w:type="dxa"/>
          <w:bottom w:w="0" w:type="dxa"/>
          <w:right w:w="0" w:type="dxa"/>
        </w:tblCellMar>
      </w:tblPr>
      <w:tblGrid>
        <w:gridCol w:w="170"/>
        <w:gridCol w:w="3740"/>
      </w:tblGrid>
      <w:tr>
        <w:trPr/>
        <w:tc>
          <w:tcPr>
            <w:tcW w:w="17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3740"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pursuit of potential acquisition opportunities;</w:t>
            </w:r>
          </w:p>
        </w:tc>
      </w:tr>
    </w:tbl>
    <w:p>
      <w:pPr>
        <w:pStyle w:val="TextBody"/>
        <w:bidi w:val="0"/>
        <w:spacing w:before="0" w:after="0"/>
        <w:ind w:left="0" w:right="0" w:hanging="0"/>
        <w:jc w:val="both"/>
        <w:rPr/>
      </w:pPr>
      <w:r>
        <w:rPr/>
        <w:t> </w:t>
      </w:r>
    </w:p>
    <w:tbl>
      <w:tblPr>
        <w:tblW w:w="8950" w:type="dxa"/>
        <w:jc w:val="left"/>
        <w:tblInd w:w="0" w:type="dxa"/>
        <w:tblLayout w:type="fixed"/>
        <w:tblCellMar>
          <w:top w:w="0" w:type="dxa"/>
          <w:left w:w="0" w:type="dxa"/>
          <w:bottom w:w="0" w:type="dxa"/>
          <w:right w:w="0" w:type="dxa"/>
        </w:tblCellMar>
      </w:tblPr>
      <w:tblGrid>
        <w:gridCol w:w="170"/>
        <w:gridCol w:w="8780"/>
      </w:tblGrid>
      <w:tr>
        <w:trPr/>
        <w:tc>
          <w:tcPr>
            <w:tcW w:w="17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8780"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economic downturns, wars and increased inflation and interest rates, and possible recessions caused thereby;</w:t>
            </w:r>
          </w:p>
        </w:tc>
      </w:tr>
    </w:tbl>
    <w:p>
      <w:pPr>
        <w:pStyle w:val="TextBody"/>
        <w:bidi w:val="0"/>
        <w:spacing w:before="0" w:after="0"/>
        <w:ind w:left="0" w:right="0" w:hanging="0"/>
        <w:jc w:val="both"/>
        <w:rPr/>
      </w:pPr>
      <w:r>
        <w:rPr/>
        <w:t> </w:t>
      </w:r>
    </w:p>
    <w:tbl>
      <w:tblPr>
        <w:tblW w:w="10205" w:type="dxa"/>
        <w:jc w:val="left"/>
        <w:tblInd w:w="0" w:type="dxa"/>
        <w:tblLayout w:type="fixed"/>
        <w:tblCellMar>
          <w:top w:w="0" w:type="dxa"/>
          <w:left w:w="0" w:type="dxa"/>
          <w:bottom w:w="0" w:type="dxa"/>
          <w:right w:w="0" w:type="dxa"/>
        </w:tblCellMar>
      </w:tblPr>
      <w:tblGrid>
        <w:gridCol w:w="170"/>
        <w:gridCol w:w="10035"/>
      </w:tblGrid>
      <w:tr>
        <w:trPr/>
        <w:tc>
          <w:tcPr>
            <w:tcW w:w="17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1003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the effects of global pandemics on our operations, properties, the market for industrial gas, oil and natural gas, and the demand for industrial gas, oil and natural gas;</w:t>
            </w:r>
          </w:p>
        </w:tc>
      </w:tr>
    </w:tbl>
    <w:p>
      <w:pPr>
        <w:pStyle w:val="TextBody"/>
        <w:bidi w:val="0"/>
        <w:spacing w:before="0" w:after="0"/>
        <w:ind w:left="0" w:right="0" w:hanging="0"/>
        <w:jc w:val="both"/>
        <w:rPr/>
      </w:pPr>
      <w:r>
        <w:rPr/>
        <w:t> </w:t>
      </w:r>
    </w:p>
    <w:tbl>
      <w:tblPr>
        <w:tblW w:w="2785" w:type="dxa"/>
        <w:jc w:val="left"/>
        <w:tblInd w:w="0" w:type="dxa"/>
        <w:tblLayout w:type="fixed"/>
        <w:tblCellMar>
          <w:top w:w="0" w:type="dxa"/>
          <w:left w:w="0" w:type="dxa"/>
          <w:bottom w:w="0" w:type="dxa"/>
          <w:right w:w="0" w:type="dxa"/>
        </w:tblCellMar>
      </w:tblPr>
      <w:tblGrid>
        <w:gridCol w:w="170"/>
        <w:gridCol w:w="2615"/>
      </w:tblGrid>
      <w:tr>
        <w:trPr/>
        <w:tc>
          <w:tcPr>
            <w:tcW w:w="17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261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our expected financial position;</w:t>
            </w:r>
          </w:p>
        </w:tc>
      </w:tr>
    </w:tbl>
    <w:p>
      <w:pPr>
        <w:pStyle w:val="TextBody"/>
        <w:bidi w:val="0"/>
        <w:spacing w:before="0" w:after="0"/>
        <w:ind w:left="0" w:right="0" w:hanging="0"/>
        <w:jc w:val="both"/>
        <w:rPr/>
      </w:pPr>
      <w:r>
        <w:rPr/>
        <w:t> </w:t>
      </w:r>
    </w:p>
    <w:tbl>
      <w:tblPr>
        <w:tblW w:w="3520" w:type="dxa"/>
        <w:jc w:val="left"/>
        <w:tblInd w:w="0" w:type="dxa"/>
        <w:tblLayout w:type="fixed"/>
        <w:tblCellMar>
          <w:top w:w="0" w:type="dxa"/>
          <w:left w:w="0" w:type="dxa"/>
          <w:bottom w:w="0" w:type="dxa"/>
          <w:right w:w="0" w:type="dxa"/>
        </w:tblCellMar>
      </w:tblPr>
      <w:tblGrid>
        <w:gridCol w:w="170"/>
        <w:gridCol w:w="3350"/>
      </w:tblGrid>
      <w:tr>
        <w:trPr/>
        <w:tc>
          <w:tcPr>
            <w:tcW w:w="17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3350"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our expected future overhead reductions;</w:t>
            </w:r>
          </w:p>
        </w:tc>
      </w:tr>
    </w:tbl>
    <w:p>
      <w:pPr>
        <w:pStyle w:val="TextBody"/>
        <w:bidi w:val="0"/>
        <w:spacing w:before="0" w:after="0"/>
        <w:ind w:left="0" w:right="0" w:hanging="0"/>
        <w:jc w:val="both"/>
        <w:rPr/>
      </w:pPr>
      <w:r>
        <w:rPr/>
        <w:t> </w:t>
      </w:r>
    </w:p>
    <w:tbl>
      <w:tblPr>
        <w:tblW w:w="6745" w:type="dxa"/>
        <w:jc w:val="left"/>
        <w:tblInd w:w="0" w:type="dxa"/>
        <w:tblLayout w:type="fixed"/>
        <w:tblCellMar>
          <w:top w:w="0" w:type="dxa"/>
          <w:left w:w="0" w:type="dxa"/>
          <w:bottom w:w="0" w:type="dxa"/>
          <w:right w:w="0" w:type="dxa"/>
        </w:tblCellMar>
      </w:tblPr>
      <w:tblGrid>
        <w:gridCol w:w="170"/>
        <w:gridCol w:w="6575"/>
      </w:tblGrid>
      <w:tr>
        <w:trPr/>
        <w:tc>
          <w:tcPr>
            <w:tcW w:w="17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657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our ability to become an operator of industrial gas, oil and natural gas properties;</w:t>
            </w:r>
          </w:p>
        </w:tc>
      </w:tr>
    </w:tbl>
    <w:p>
      <w:pPr>
        <w:pStyle w:val="TextBody"/>
        <w:bidi w:val="0"/>
        <w:spacing w:before="0" w:after="0"/>
        <w:ind w:left="0" w:right="0" w:hanging="0"/>
        <w:jc w:val="both"/>
        <w:rPr/>
      </w:pPr>
      <w:r>
        <w:rPr/>
        <w:t> </w:t>
      </w:r>
    </w:p>
    <w:tbl>
      <w:tblPr>
        <w:tblW w:w="9175" w:type="dxa"/>
        <w:jc w:val="left"/>
        <w:tblInd w:w="0" w:type="dxa"/>
        <w:tblLayout w:type="fixed"/>
        <w:tblCellMar>
          <w:top w:w="0" w:type="dxa"/>
          <w:left w:w="0" w:type="dxa"/>
          <w:bottom w:w="0" w:type="dxa"/>
          <w:right w:w="0" w:type="dxa"/>
        </w:tblCellMar>
      </w:tblPr>
      <w:tblGrid>
        <w:gridCol w:w="170"/>
        <w:gridCol w:w="9005"/>
      </w:tblGrid>
      <w:tr>
        <w:trPr/>
        <w:tc>
          <w:tcPr>
            <w:tcW w:w="17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900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our ability to raise additional financing and acquire attractive industrial gas, oil and natural gas properties; and</w:t>
            </w:r>
          </w:p>
        </w:tc>
      </w:tr>
    </w:tbl>
    <w:p>
      <w:pPr>
        <w:pStyle w:val="TextBody"/>
        <w:bidi w:val="0"/>
        <w:spacing w:before="0" w:after="0"/>
        <w:ind w:left="0" w:right="0" w:hanging="0"/>
        <w:jc w:val="both"/>
        <w:rPr/>
      </w:pPr>
      <w:r>
        <w:rPr/>
        <w:t> </w:t>
      </w:r>
    </w:p>
    <w:tbl>
      <w:tblPr>
        <w:tblW w:w="8530" w:type="dxa"/>
        <w:jc w:val="left"/>
        <w:tblInd w:w="0" w:type="dxa"/>
        <w:tblLayout w:type="fixed"/>
        <w:tblCellMar>
          <w:top w:w="0" w:type="dxa"/>
          <w:left w:w="0" w:type="dxa"/>
          <w:bottom w:w="0" w:type="dxa"/>
          <w:right w:w="0" w:type="dxa"/>
        </w:tblCellMar>
      </w:tblPr>
      <w:tblGrid>
        <w:gridCol w:w="170"/>
        <w:gridCol w:w="8360"/>
      </w:tblGrid>
      <w:tr>
        <w:trPr/>
        <w:tc>
          <w:tcPr>
            <w:tcW w:w="17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8360"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other plans and objectives for future operations, including industrial gas exploration and development.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These forward-looking statements are identified by their use of terms and phrases such as “may,” “expect,” “estimate,” “project,” “plan,” “believe,” “intend,” “achievable,” “anticipate,” “will,” “continue,” “potential,” “should,” “could,” “up to,” and similar terms and phrases. Though we believe that the expectations reflected in these statements are reasonable, they involve certain assumptions, risks and uncertainties. Factors that could cause or contribute to such differences include, but are not limited to, those discussed in this Quarterly Report on Form 10-Q, and in particular, under and incorporated by reference in, “Risk Factors”, below, the risks discussed in Part I, Item 1A, “Risk Factors” in our Annual Report on Form 10-K for the fiscal year ended December 31, 2024, and those discussed in other documents we file with the Securities and Exchange Commission (the “SEC” or the “Commission”). Given these risks and uncertainties, readers are cautioned not to place undue reliance on such forward-looking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All subsequent written and oral forward-looking statements attributable to the Company, or persons acting on its behalf, are expressly qualified in their entirety by the cautionary statements above.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All forward-looking statements speak only at the date of the filing of this Report. We do not undertake any obligation to update or revise publicly any forward-looking statements except as required by law, including the securities laws of the United States and the rules and regulations of the SEC.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3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283"/>
        <w:jc w:val="left"/>
        <w:rPr/>
      </w:pPr>
      <w:r>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 w:hAnsi="Times New Roman"/>
          <w:b/>
          <w:caps w:val="false"/>
          <w:smallCaps w:val="false"/>
          <w:sz w:val="20"/>
          <w:u w:val="single"/>
        </w:rPr>
      </w:pPr>
      <w:bookmarkStart w:id="4" w:name="partonefininfo"/>
      <w:bookmarkEnd w:id="4"/>
      <w:r>
        <w:rPr>
          <w:rFonts w:ascii="Times New Roman" w:hAnsi="Times New Roman"/>
          <w:b/>
          <w:caps w:val="false"/>
          <w:smallCaps w:val="false"/>
          <w:sz w:val="20"/>
          <w:u w:val="single"/>
        </w:rPr>
        <w:t>Part I. FINANCIAL INFORMATION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caps w:val="false"/>
          <w:smallCaps w:val="false"/>
          <w:sz w:val="20"/>
        </w:rPr>
      </w:pPr>
      <w:bookmarkStart w:id="5" w:name="finstmts"/>
      <w:bookmarkEnd w:id="5"/>
      <w:r>
        <w:rPr>
          <w:rFonts w:ascii="Times New Roman" w:hAnsi="Times New Roman"/>
          <w:b/>
          <w:caps w:val="false"/>
          <w:smallCaps w:val="false"/>
          <w:sz w:val="20"/>
        </w:rPr>
        <w:t>Item 1. Financial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0"/>
        </w:rPr>
      </w:pPr>
      <w:bookmarkStart w:id="6" w:name="bs"/>
      <w:bookmarkEnd w:id="6"/>
      <w:r>
        <w:rPr>
          <w:rFonts w:ascii="Times New Roman" w:hAnsi="Times New Roman"/>
          <w:b/>
          <w:caps w:val="false"/>
          <w:smallCaps w:val="false"/>
          <w:sz w:val="20"/>
        </w:rPr>
        <w:t>U.S. ENERGY CORP. AND SUBSIDIARIES</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UNAUDITED CONDENSED CONSOLIDATED BALANCE SHEETS</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(in thousands, except share and per share amounts)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80" w:right="180" w:hanging="0"/>
        <w:jc w:val="left"/>
        <w:rPr/>
      </w:pPr>
      <w:r>
        <w:rPr/>
        <w:t> </w:t>
      </w:r>
    </w:p>
    <w:tbl>
      <w:tblPr>
        <w:tblW w:w="10205" w:type="dxa"/>
        <w:jc w:val="left"/>
        <w:tblInd w:w="0" w:type="dxa"/>
        <w:tblLayout w:type="fixed"/>
        <w:tblCellMar>
          <w:top w:w="0" w:type="dxa"/>
          <w:left w:w="0" w:type="dxa"/>
          <w:bottom w:w="0" w:type="dxa"/>
          <w:right w:w="0" w:type="dxa"/>
        </w:tblCellMar>
      </w:tblPr>
      <w:tblGrid>
        <w:gridCol w:w="7498"/>
        <w:gridCol w:w="60"/>
        <w:gridCol w:w="173"/>
        <w:gridCol w:w="1052"/>
        <w:gridCol w:w="80"/>
        <w:gridCol w:w="60"/>
        <w:gridCol w:w="170"/>
        <w:gridCol w:w="1030"/>
        <w:gridCol w:w="82"/>
      </w:tblGrid>
      <w:tr>
        <w:trPr/>
        <w:tc>
          <w:tcPr>
            <w:tcW w:w="7498"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2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September 30, 2025</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0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December 31, 2024</w:t>
            </w:r>
          </w:p>
        </w:tc>
        <w:tc>
          <w:tcPr>
            <w:tcW w:w="82" w:type="dxa"/>
            <w:tcBorders/>
            <w:shd w:fill="FFFFFF" w:val="clear"/>
            <w:vAlign w:val="center"/>
          </w:tcPr>
          <w:p>
            <w:pPr>
              <w:pStyle w:val="TableContents"/>
              <w:bidi w:val="0"/>
              <w:spacing w:before="0" w:after="283"/>
              <w:jc w:val="left"/>
              <w:rPr/>
            </w:pPr>
            <w:r>
              <w:rPr/>
              <w:t> </w:t>
            </w:r>
          </w:p>
        </w:tc>
      </w:tr>
      <w:tr>
        <w:trPr/>
        <w:tc>
          <w:tcPr>
            <w:tcW w:w="7498"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3" w:type="dxa"/>
            <w:tcBorders/>
            <w:shd w:fill="FFFFFF" w:val="clear"/>
            <w:vAlign w:val="center"/>
          </w:tcPr>
          <w:p>
            <w:pPr>
              <w:pStyle w:val="TableContents"/>
              <w:bidi w:val="0"/>
              <w:spacing w:before="0" w:after="283"/>
              <w:jc w:val="left"/>
              <w:rPr/>
            </w:pPr>
            <w:r>
              <w:rPr/>
              <w:t> </w:t>
            </w:r>
          </w:p>
        </w:tc>
        <w:tc>
          <w:tcPr>
            <w:tcW w:w="1052"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1030" w:type="dxa"/>
            <w:tcBorders/>
            <w:shd w:fill="FFFFFF" w:val="clear"/>
            <w:vAlign w:val="center"/>
          </w:tcPr>
          <w:p>
            <w:pPr>
              <w:pStyle w:val="TableContents"/>
              <w:bidi w:val="0"/>
              <w:spacing w:before="0" w:after="283"/>
              <w:jc w:val="left"/>
              <w:rPr/>
            </w:pPr>
            <w:r>
              <w:rPr/>
              <w:t> </w:t>
            </w:r>
          </w:p>
        </w:tc>
        <w:tc>
          <w:tcPr>
            <w:tcW w:w="82" w:type="dxa"/>
            <w:tcBorders/>
            <w:shd w:fill="FFFFFF" w:val="clear"/>
            <w:vAlign w:val="center"/>
          </w:tcPr>
          <w:p>
            <w:pPr>
              <w:pStyle w:val="TableContents"/>
              <w:bidi w:val="0"/>
              <w:spacing w:before="0" w:after="283"/>
              <w:jc w:val="left"/>
              <w:rPr/>
            </w:pPr>
            <w:r>
              <w:rPr/>
              <w:t> </w:t>
            </w:r>
          </w:p>
        </w:tc>
      </w:tr>
      <w:tr>
        <w:trPr/>
        <w:tc>
          <w:tcPr>
            <w:tcW w:w="7498" w:type="dxa"/>
            <w:tcBorders/>
            <w:shd w:fill="CCEEFF" w:val="cle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ASSETS</w:t>
            </w:r>
          </w:p>
        </w:tc>
        <w:tc>
          <w:tcPr>
            <w:tcW w:w="60" w:type="dxa"/>
            <w:tcBorders/>
            <w:shd w:fill="CCEEFF" w:val="clear"/>
            <w:vAlign w:val="center"/>
          </w:tcPr>
          <w:p>
            <w:pPr>
              <w:pStyle w:val="TableContents"/>
              <w:bidi w:val="0"/>
              <w:spacing w:before="0" w:after="283"/>
              <w:jc w:val="left"/>
              <w:rPr/>
            </w:pPr>
            <w:r>
              <w:rPr/>
              <w:t> </w:t>
            </w:r>
          </w:p>
        </w:tc>
        <w:tc>
          <w:tcPr>
            <w:tcW w:w="173" w:type="dxa"/>
            <w:tcBorders/>
            <w:shd w:fill="CCEEFF" w:val="clear"/>
            <w:vAlign w:val="center"/>
          </w:tcPr>
          <w:p>
            <w:pPr>
              <w:pStyle w:val="TableContents"/>
              <w:bidi w:val="0"/>
              <w:spacing w:before="0" w:after="283"/>
              <w:jc w:val="left"/>
              <w:rPr/>
            </w:pPr>
            <w:r>
              <w:rPr/>
              <w:t> </w:t>
            </w:r>
          </w:p>
        </w:tc>
        <w:tc>
          <w:tcPr>
            <w:tcW w:w="1052" w:type="dxa"/>
            <w:tcBorders/>
            <w:shd w:fill="CCEEFF" w:val="clear"/>
            <w:vAlign w:val="center"/>
          </w:tcPr>
          <w:p>
            <w:pPr>
              <w:pStyle w:val="TableContents"/>
              <w:bidi w:val="0"/>
              <w:spacing w:before="0" w:after="283"/>
              <w:jc w:val="center"/>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030" w:type="dxa"/>
            <w:tcBorders/>
            <w:shd w:fill="CCEEFF" w:val="clear"/>
            <w:vAlign w:val="center"/>
          </w:tcPr>
          <w:p>
            <w:pPr>
              <w:pStyle w:val="TableContents"/>
              <w:bidi w:val="0"/>
              <w:spacing w:before="0" w:after="283"/>
              <w:jc w:val="center"/>
              <w:rPr/>
            </w:pPr>
            <w:r>
              <w:rPr/>
              <w:t> </w:t>
            </w:r>
          </w:p>
        </w:tc>
        <w:tc>
          <w:tcPr>
            <w:tcW w:w="82" w:type="dxa"/>
            <w:tcBorders/>
            <w:shd w:fill="CCEEFF" w:val="clear"/>
            <w:vAlign w:val="center"/>
          </w:tcPr>
          <w:p>
            <w:pPr>
              <w:pStyle w:val="TableContents"/>
              <w:bidi w:val="0"/>
              <w:spacing w:before="0" w:after="283"/>
              <w:jc w:val="left"/>
              <w:rPr/>
            </w:pPr>
            <w:r>
              <w:rPr/>
              <w:t> </w:t>
            </w:r>
          </w:p>
        </w:tc>
      </w:tr>
      <w:tr>
        <w:trPr/>
        <w:tc>
          <w:tcPr>
            <w:tcW w:w="7498" w:type="dxa"/>
            <w:tcBorders/>
            <w:shd w:fill="FFFFFF" w:val="clear"/>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Current assets:</w:t>
            </w:r>
          </w:p>
        </w:tc>
        <w:tc>
          <w:tcPr>
            <w:tcW w:w="60" w:type="dxa"/>
            <w:tcBorders/>
            <w:shd w:fill="FFFFFF" w:val="clear"/>
            <w:vAlign w:val="center"/>
          </w:tcPr>
          <w:p>
            <w:pPr>
              <w:pStyle w:val="TableContents"/>
              <w:bidi w:val="0"/>
              <w:spacing w:before="0" w:after="283"/>
              <w:jc w:val="left"/>
              <w:rPr/>
            </w:pPr>
            <w:r>
              <w:rPr/>
              <w:t> </w:t>
            </w:r>
          </w:p>
        </w:tc>
        <w:tc>
          <w:tcPr>
            <w:tcW w:w="173" w:type="dxa"/>
            <w:tcBorders/>
            <w:shd w:fill="FFFFFF" w:val="clear"/>
            <w:vAlign w:val="center"/>
          </w:tcPr>
          <w:p>
            <w:pPr>
              <w:pStyle w:val="TableContents"/>
              <w:bidi w:val="0"/>
              <w:spacing w:before="0" w:after="283"/>
              <w:jc w:val="left"/>
              <w:rPr/>
            </w:pPr>
            <w:r>
              <w:rPr/>
              <w:t> </w:t>
            </w:r>
          </w:p>
        </w:tc>
        <w:tc>
          <w:tcPr>
            <w:tcW w:w="1052"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1030" w:type="dxa"/>
            <w:tcBorders/>
            <w:shd w:fill="FFFFFF" w:val="clear"/>
            <w:vAlign w:val="center"/>
          </w:tcPr>
          <w:p>
            <w:pPr>
              <w:pStyle w:val="TableContents"/>
              <w:bidi w:val="0"/>
              <w:spacing w:before="0" w:after="283"/>
              <w:jc w:val="left"/>
              <w:rPr/>
            </w:pPr>
            <w:r>
              <w:rPr/>
              <w:t> </w:t>
            </w:r>
          </w:p>
        </w:tc>
        <w:tc>
          <w:tcPr>
            <w:tcW w:w="82" w:type="dxa"/>
            <w:tcBorders/>
            <w:shd w:fill="FFFFFF" w:val="clear"/>
            <w:vAlign w:val="center"/>
          </w:tcPr>
          <w:p>
            <w:pPr>
              <w:pStyle w:val="TableContents"/>
              <w:bidi w:val="0"/>
              <w:spacing w:before="0" w:after="283"/>
              <w:jc w:val="left"/>
              <w:rPr/>
            </w:pPr>
            <w:r>
              <w:rPr/>
              <w:t> </w:t>
            </w:r>
          </w:p>
        </w:tc>
      </w:tr>
      <w:tr>
        <w:trPr/>
        <w:tc>
          <w:tcPr>
            <w:tcW w:w="7498" w:type="dxa"/>
            <w:tcBorders/>
            <w:shd w:fill="CCEE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Cash and equivalents</w:t>
            </w:r>
          </w:p>
        </w:tc>
        <w:tc>
          <w:tcPr>
            <w:tcW w:w="60" w:type="dxa"/>
            <w:tcBorders/>
            <w:shd w:fill="CCEEFF" w:val="clear"/>
            <w:vAlign w:val="center"/>
          </w:tcPr>
          <w:p>
            <w:pPr>
              <w:pStyle w:val="TableContents"/>
              <w:bidi w:val="0"/>
              <w:spacing w:before="0" w:after="283"/>
              <w:ind w:left="0" w:right="0" w:hanging="0"/>
              <w:jc w:val="left"/>
              <w:rPr/>
            </w:pPr>
            <w:r>
              <w:rPr/>
              <w:t> </w:t>
            </w:r>
          </w:p>
        </w:tc>
        <w:tc>
          <w:tcPr>
            <w:tcW w:w="173"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1052"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1,415</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70"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1030"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7,723</w:t>
            </w:r>
          </w:p>
        </w:tc>
        <w:tc>
          <w:tcPr>
            <w:tcW w:w="82" w:type="dxa"/>
            <w:tcBorders/>
            <w:shd w:fill="CCEEFF" w:val="clear"/>
            <w:vAlign w:val="center"/>
          </w:tcPr>
          <w:p>
            <w:pPr>
              <w:pStyle w:val="TableContents"/>
              <w:bidi w:val="0"/>
              <w:spacing w:before="0" w:after="283"/>
              <w:jc w:val="left"/>
              <w:rPr/>
            </w:pPr>
            <w:r>
              <w:rPr/>
              <w:t> </w:t>
            </w:r>
          </w:p>
        </w:tc>
      </w:tr>
      <w:tr>
        <w:trPr/>
        <w:tc>
          <w:tcPr>
            <w:tcW w:w="7498" w:type="dxa"/>
            <w:tcBorders/>
            <w:shd w:fill="FFFF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Oil and natural gas sales receivables</w:t>
            </w:r>
          </w:p>
        </w:tc>
        <w:tc>
          <w:tcPr>
            <w:tcW w:w="60" w:type="dxa"/>
            <w:tcBorders/>
            <w:shd w:fill="FFFFFF" w:val="clear"/>
            <w:vAlign w:val="center"/>
          </w:tcPr>
          <w:p>
            <w:pPr>
              <w:pStyle w:val="TableContents"/>
              <w:bidi w:val="0"/>
              <w:spacing w:before="0" w:after="283"/>
              <w:jc w:val="left"/>
              <w:rPr/>
            </w:pPr>
            <w:r>
              <w:rPr/>
              <w:t> </w:t>
            </w:r>
          </w:p>
        </w:tc>
        <w:tc>
          <w:tcPr>
            <w:tcW w:w="173" w:type="dxa"/>
            <w:tcBorders/>
            <w:shd w:fill="FFFFFF" w:val="clear"/>
            <w:vAlign w:val="center"/>
          </w:tcPr>
          <w:p>
            <w:pPr>
              <w:pStyle w:val="TableContents"/>
              <w:bidi w:val="0"/>
              <w:spacing w:before="0" w:after="283"/>
              <w:ind w:left="0" w:right="0" w:hanging="0"/>
              <w:jc w:val="left"/>
              <w:rPr/>
            </w:pPr>
            <w:r>
              <w:rPr/>
              <w:t> </w:t>
            </w:r>
          </w:p>
        </w:tc>
        <w:tc>
          <w:tcPr>
            <w:tcW w:w="1052"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490</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ind w:left="0" w:right="0" w:hanging="0"/>
              <w:jc w:val="left"/>
              <w:rPr/>
            </w:pPr>
            <w:r>
              <w:rPr/>
              <w:t> </w:t>
            </w:r>
          </w:p>
        </w:tc>
        <w:tc>
          <w:tcPr>
            <w:tcW w:w="1030"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1,298</w:t>
            </w:r>
          </w:p>
        </w:tc>
        <w:tc>
          <w:tcPr>
            <w:tcW w:w="82" w:type="dxa"/>
            <w:tcBorders/>
            <w:shd w:fill="FFFFFF" w:val="clear"/>
            <w:vAlign w:val="center"/>
          </w:tcPr>
          <w:p>
            <w:pPr>
              <w:pStyle w:val="TableContents"/>
              <w:bidi w:val="0"/>
              <w:spacing w:before="0" w:after="283"/>
              <w:jc w:val="left"/>
              <w:rPr/>
            </w:pPr>
            <w:r>
              <w:rPr/>
              <w:t> </w:t>
            </w:r>
          </w:p>
        </w:tc>
      </w:tr>
      <w:tr>
        <w:trPr/>
        <w:tc>
          <w:tcPr>
            <w:tcW w:w="7498" w:type="dxa"/>
            <w:tcBorders/>
            <w:shd w:fill="CCEE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Marketable equity securities</w:t>
            </w:r>
          </w:p>
        </w:tc>
        <w:tc>
          <w:tcPr>
            <w:tcW w:w="60" w:type="dxa"/>
            <w:tcBorders/>
            <w:shd w:fill="CCEEFF" w:val="clear"/>
            <w:vAlign w:val="center"/>
          </w:tcPr>
          <w:p>
            <w:pPr>
              <w:pStyle w:val="TableContents"/>
              <w:bidi w:val="0"/>
              <w:spacing w:before="0" w:after="283"/>
              <w:jc w:val="left"/>
              <w:rPr/>
            </w:pPr>
            <w:r>
              <w:rPr/>
              <w:t> </w:t>
            </w:r>
          </w:p>
        </w:tc>
        <w:tc>
          <w:tcPr>
            <w:tcW w:w="173" w:type="dxa"/>
            <w:tcBorders/>
            <w:shd w:fill="CCEEFF" w:val="clear"/>
            <w:vAlign w:val="center"/>
          </w:tcPr>
          <w:p>
            <w:pPr>
              <w:pStyle w:val="TableContents"/>
              <w:bidi w:val="0"/>
              <w:spacing w:before="0" w:after="283"/>
              <w:ind w:left="0" w:right="0" w:hanging="0"/>
              <w:jc w:val="left"/>
              <w:rPr/>
            </w:pPr>
            <w:r>
              <w:rPr/>
              <w:t> </w:t>
            </w:r>
          </w:p>
        </w:tc>
        <w:tc>
          <w:tcPr>
            <w:tcW w:w="1052"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310</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ind w:left="0" w:right="0" w:hanging="0"/>
              <w:jc w:val="left"/>
              <w:rPr/>
            </w:pPr>
            <w:r>
              <w:rPr/>
              <w:t> </w:t>
            </w:r>
          </w:p>
        </w:tc>
        <w:tc>
          <w:tcPr>
            <w:tcW w:w="1030"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131</w:t>
            </w:r>
          </w:p>
        </w:tc>
        <w:tc>
          <w:tcPr>
            <w:tcW w:w="82" w:type="dxa"/>
            <w:tcBorders/>
            <w:shd w:fill="CCEEFF" w:val="clear"/>
            <w:vAlign w:val="center"/>
          </w:tcPr>
          <w:p>
            <w:pPr>
              <w:pStyle w:val="TableContents"/>
              <w:bidi w:val="0"/>
              <w:spacing w:before="0" w:after="283"/>
              <w:jc w:val="left"/>
              <w:rPr/>
            </w:pPr>
            <w:r>
              <w:rPr/>
              <w:t> </w:t>
            </w:r>
          </w:p>
        </w:tc>
      </w:tr>
      <w:tr>
        <w:trPr/>
        <w:tc>
          <w:tcPr>
            <w:tcW w:w="7498" w:type="dxa"/>
            <w:tcBorders/>
            <w:shd w:fill="FFFF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Other current assets</w:t>
            </w:r>
          </w:p>
        </w:tc>
        <w:tc>
          <w:tcPr>
            <w:tcW w:w="60" w:type="dxa"/>
            <w:tcBorders/>
            <w:shd w:fill="FFFFFF" w:val="clear"/>
            <w:vAlign w:val="center"/>
          </w:tcPr>
          <w:p>
            <w:pPr>
              <w:pStyle w:val="TableContents"/>
              <w:bidi w:val="0"/>
              <w:spacing w:before="0" w:after="283"/>
              <w:jc w:val="left"/>
              <w:rPr/>
            </w:pPr>
            <w:r>
              <w:rPr/>
              <w:t> </w:t>
            </w:r>
          </w:p>
        </w:tc>
        <w:tc>
          <w:tcPr>
            <w:tcW w:w="173"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052"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584</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03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572</w:t>
            </w:r>
          </w:p>
        </w:tc>
        <w:tc>
          <w:tcPr>
            <w:tcW w:w="82" w:type="dxa"/>
            <w:tcBorders/>
            <w:shd w:fill="FFFFFF" w:val="clear"/>
            <w:vAlign w:val="center"/>
          </w:tcPr>
          <w:p>
            <w:pPr>
              <w:pStyle w:val="TableContents"/>
              <w:bidi w:val="0"/>
              <w:spacing w:before="0" w:after="283"/>
              <w:jc w:val="left"/>
              <w:rPr/>
            </w:pPr>
            <w:r>
              <w:rPr/>
              <w:t> </w:t>
            </w:r>
          </w:p>
        </w:tc>
      </w:tr>
      <w:tr>
        <w:trPr/>
        <w:tc>
          <w:tcPr>
            <w:tcW w:w="7498"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3" w:type="dxa"/>
            <w:tcBorders/>
            <w:shd w:fill="CCEEFF" w:val="clear"/>
            <w:vAlign w:val="center"/>
          </w:tcPr>
          <w:p>
            <w:pPr>
              <w:pStyle w:val="TableContents"/>
              <w:bidi w:val="0"/>
              <w:spacing w:before="0" w:after="283"/>
              <w:jc w:val="left"/>
              <w:rPr/>
            </w:pPr>
            <w:r>
              <w:rPr/>
              <w:t> </w:t>
            </w:r>
          </w:p>
        </w:tc>
        <w:tc>
          <w:tcPr>
            <w:tcW w:w="1052"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030" w:type="dxa"/>
            <w:tcBorders/>
            <w:shd w:fill="CCEEFF" w:val="clear"/>
            <w:vAlign w:val="center"/>
          </w:tcPr>
          <w:p>
            <w:pPr>
              <w:pStyle w:val="TableContents"/>
              <w:bidi w:val="0"/>
              <w:spacing w:before="0" w:after="283"/>
              <w:jc w:val="left"/>
              <w:rPr/>
            </w:pPr>
            <w:r>
              <w:rPr/>
              <w:t> </w:t>
            </w:r>
          </w:p>
        </w:tc>
        <w:tc>
          <w:tcPr>
            <w:tcW w:w="82" w:type="dxa"/>
            <w:tcBorders/>
            <w:shd w:fill="CCEEFF" w:val="clear"/>
            <w:vAlign w:val="center"/>
          </w:tcPr>
          <w:p>
            <w:pPr>
              <w:pStyle w:val="TableContents"/>
              <w:bidi w:val="0"/>
              <w:spacing w:before="0" w:after="283"/>
              <w:jc w:val="left"/>
              <w:rPr/>
            </w:pPr>
            <w:r>
              <w:rPr/>
              <w:t> </w:t>
            </w:r>
          </w:p>
        </w:tc>
      </w:tr>
      <w:tr>
        <w:trPr/>
        <w:tc>
          <w:tcPr>
            <w:tcW w:w="7498" w:type="dxa"/>
            <w:tcBorders/>
            <w:shd w:fill="FFFFFF" w:val="clear"/>
            <w:vAlign w:val="center"/>
          </w:tcPr>
          <w:p>
            <w:pPr>
              <w:pStyle w:val="TableContents"/>
              <w:bidi w:val="0"/>
              <w:spacing w:before="0" w:after="0"/>
              <w:ind w:left="360" w:right="0" w:hanging="0"/>
              <w:jc w:val="left"/>
              <w:rPr>
                <w:rFonts w:ascii="Times New Roman" w:hAnsi="Times New Roman"/>
                <w:b/>
                <w:caps w:val="false"/>
                <w:smallCaps w:val="false"/>
                <w:sz w:val="20"/>
              </w:rPr>
            </w:pPr>
            <w:r>
              <w:rPr>
                <w:rFonts w:ascii="Times New Roman" w:hAnsi="Times New Roman"/>
                <w:b/>
                <w:caps w:val="false"/>
                <w:smallCaps w:val="false"/>
                <w:sz w:val="20"/>
              </w:rPr>
              <w:t>Total current assets</w:t>
            </w:r>
          </w:p>
        </w:tc>
        <w:tc>
          <w:tcPr>
            <w:tcW w:w="60" w:type="dxa"/>
            <w:tcBorders/>
            <w:shd w:fill="FFFFFF" w:val="clear"/>
            <w:vAlign w:val="center"/>
          </w:tcPr>
          <w:p>
            <w:pPr>
              <w:pStyle w:val="TableContents"/>
              <w:bidi w:val="0"/>
              <w:spacing w:before="0" w:after="283"/>
              <w:jc w:val="left"/>
              <w:rPr/>
            </w:pPr>
            <w:r>
              <w:rPr/>
              <w:t> </w:t>
            </w:r>
          </w:p>
        </w:tc>
        <w:tc>
          <w:tcPr>
            <w:tcW w:w="173" w:type="dxa"/>
            <w:tcBorders/>
            <w:shd w:fill="FFFFFF" w:val="clear"/>
            <w:vAlign w:val="center"/>
          </w:tcPr>
          <w:p>
            <w:pPr>
              <w:pStyle w:val="TableContents"/>
              <w:bidi w:val="0"/>
              <w:spacing w:before="0" w:after="283"/>
              <w:ind w:left="0" w:right="0" w:hanging="0"/>
              <w:jc w:val="left"/>
              <w:rPr/>
            </w:pPr>
            <w:r>
              <w:rPr/>
              <w:t> </w:t>
            </w:r>
          </w:p>
        </w:tc>
        <w:tc>
          <w:tcPr>
            <w:tcW w:w="1052"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2,799</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ind w:left="0" w:right="0" w:hanging="0"/>
              <w:jc w:val="left"/>
              <w:rPr/>
            </w:pPr>
            <w:r>
              <w:rPr/>
              <w:t> </w:t>
            </w:r>
          </w:p>
        </w:tc>
        <w:tc>
          <w:tcPr>
            <w:tcW w:w="1030"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9,724</w:t>
            </w:r>
          </w:p>
        </w:tc>
        <w:tc>
          <w:tcPr>
            <w:tcW w:w="82" w:type="dxa"/>
            <w:tcBorders/>
            <w:shd w:fill="FFFFFF" w:val="clear"/>
            <w:vAlign w:val="center"/>
          </w:tcPr>
          <w:p>
            <w:pPr>
              <w:pStyle w:val="TableContents"/>
              <w:bidi w:val="0"/>
              <w:spacing w:before="0" w:after="283"/>
              <w:jc w:val="left"/>
              <w:rPr/>
            </w:pPr>
            <w:r>
              <w:rPr/>
              <w:t> </w:t>
            </w:r>
          </w:p>
        </w:tc>
      </w:tr>
      <w:tr>
        <w:trPr/>
        <w:tc>
          <w:tcPr>
            <w:tcW w:w="7498"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3" w:type="dxa"/>
            <w:tcBorders/>
            <w:shd w:fill="CCEEFF" w:val="clear"/>
            <w:vAlign w:val="center"/>
          </w:tcPr>
          <w:p>
            <w:pPr>
              <w:pStyle w:val="TableContents"/>
              <w:bidi w:val="0"/>
              <w:spacing w:before="0" w:after="283"/>
              <w:jc w:val="left"/>
              <w:rPr/>
            </w:pPr>
            <w:r>
              <w:rPr/>
              <w:t> </w:t>
            </w:r>
          </w:p>
        </w:tc>
        <w:tc>
          <w:tcPr>
            <w:tcW w:w="1052"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030" w:type="dxa"/>
            <w:tcBorders/>
            <w:shd w:fill="CCEEFF" w:val="clear"/>
            <w:vAlign w:val="center"/>
          </w:tcPr>
          <w:p>
            <w:pPr>
              <w:pStyle w:val="TableContents"/>
              <w:bidi w:val="0"/>
              <w:spacing w:before="0" w:after="283"/>
              <w:jc w:val="left"/>
              <w:rPr/>
            </w:pPr>
            <w:r>
              <w:rPr/>
              <w:t> </w:t>
            </w:r>
          </w:p>
        </w:tc>
        <w:tc>
          <w:tcPr>
            <w:tcW w:w="82" w:type="dxa"/>
            <w:tcBorders/>
            <w:shd w:fill="CCEEFF" w:val="clear"/>
            <w:vAlign w:val="center"/>
          </w:tcPr>
          <w:p>
            <w:pPr>
              <w:pStyle w:val="TableContents"/>
              <w:bidi w:val="0"/>
              <w:spacing w:before="0" w:after="283"/>
              <w:jc w:val="left"/>
              <w:rPr/>
            </w:pPr>
            <w:r>
              <w:rPr/>
              <w:t> </w:t>
            </w:r>
          </w:p>
        </w:tc>
      </w:tr>
      <w:tr>
        <w:trPr/>
        <w:tc>
          <w:tcPr>
            <w:tcW w:w="7498" w:type="dxa"/>
            <w:tcBorders/>
            <w:shd w:fill="FFFFFF" w:val="clear"/>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Oil and natural gas properties under full cost method and industrial gas properties:</w:t>
            </w:r>
          </w:p>
        </w:tc>
        <w:tc>
          <w:tcPr>
            <w:tcW w:w="60" w:type="dxa"/>
            <w:tcBorders/>
            <w:shd w:fill="FFFFFF" w:val="clear"/>
            <w:vAlign w:val="center"/>
          </w:tcPr>
          <w:p>
            <w:pPr>
              <w:pStyle w:val="TableContents"/>
              <w:bidi w:val="0"/>
              <w:spacing w:before="0" w:after="283"/>
              <w:jc w:val="left"/>
              <w:rPr/>
            </w:pPr>
            <w:r>
              <w:rPr/>
              <w:t> </w:t>
            </w:r>
          </w:p>
        </w:tc>
        <w:tc>
          <w:tcPr>
            <w:tcW w:w="173" w:type="dxa"/>
            <w:tcBorders/>
            <w:shd w:fill="FFFFFF" w:val="clear"/>
            <w:vAlign w:val="center"/>
          </w:tcPr>
          <w:p>
            <w:pPr>
              <w:pStyle w:val="TableContents"/>
              <w:bidi w:val="0"/>
              <w:spacing w:before="0" w:after="283"/>
              <w:jc w:val="left"/>
              <w:rPr/>
            </w:pPr>
            <w:r>
              <w:rPr/>
              <w:t> </w:t>
            </w:r>
          </w:p>
        </w:tc>
        <w:tc>
          <w:tcPr>
            <w:tcW w:w="1052"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1030" w:type="dxa"/>
            <w:tcBorders/>
            <w:shd w:fill="FFFFFF" w:val="clear"/>
            <w:vAlign w:val="center"/>
          </w:tcPr>
          <w:p>
            <w:pPr>
              <w:pStyle w:val="TableContents"/>
              <w:bidi w:val="0"/>
              <w:spacing w:before="0" w:after="283"/>
              <w:jc w:val="left"/>
              <w:rPr/>
            </w:pPr>
            <w:r>
              <w:rPr/>
              <w:t> </w:t>
            </w:r>
          </w:p>
        </w:tc>
        <w:tc>
          <w:tcPr>
            <w:tcW w:w="82" w:type="dxa"/>
            <w:tcBorders/>
            <w:shd w:fill="FFFFFF" w:val="clear"/>
            <w:vAlign w:val="center"/>
          </w:tcPr>
          <w:p>
            <w:pPr>
              <w:pStyle w:val="TableContents"/>
              <w:bidi w:val="0"/>
              <w:spacing w:before="0" w:after="283"/>
              <w:jc w:val="left"/>
              <w:rPr/>
            </w:pPr>
            <w:r>
              <w:rPr/>
              <w:t> </w:t>
            </w:r>
          </w:p>
        </w:tc>
      </w:tr>
      <w:tr>
        <w:trPr/>
        <w:tc>
          <w:tcPr>
            <w:tcW w:w="7498" w:type="dxa"/>
            <w:tcBorders/>
            <w:shd w:fill="CCEEFF" w:val="clear"/>
            <w:vAlign w:val="center"/>
          </w:tcPr>
          <w:p>
            <w:pPr>
              <w:pStyle w:val="TableContents"/>
              <w:bidi w:val="0"/>
              <w:spacing w:before="0" w:after="0"/>
              <w:ind w:left="180" w:right="180" w:hanging="0"/>
              <w:jc w:val="left"/>
              <w:rPr>
                <w:rFonts w:ascii="Times New Roman" w:hAnsi="Times New Roman"/>
                <w:sz w:val="20"/>
              </w:rPr>
            </w:pPr>
            <w:r>
              <w:rPr>
                <w:rFonts w:ascii="Times New Roman" w:hAnsi="Times New Roman"/>
                <w:sz w:val="20"/>
              </w:rPr>
              <w:t>Proved oil and natural gas properties</w:t>
            </w:r>
          </w:p>
        </w:tc>
        <w:tc>
          <w:tcPr>
            <w:tcW w:w="60" w:type="dxa"/>
            <w:tcBorders/>
            <w:shd w:fill="CCEEFF" w:val="clear"/>
            <w:vAlign w:val="center"/>
          </w:tcPr>
          <w:p>
            <w:pPr>
              <w:pStyle w:val="TableContents"/>
              <w:bidi w:val="0"/>
              <w:spacing w:before="0" w:after="283"/>
              <w:jc w:val="left"/>
              <w:rPr/>
            </w:pPr>
            <w:r>
              <w:rPr/>
              <w:t> </w:t>
            </w:r>
          </w:p>
        </w:tc>
        <w:tc>
          <w:tcPr>
            <w:tcW w:w="173" w:type="dxa"/>
            <w:tcBorders/>
            <w:shd w:fill="CCEEFF" w:val="clear"/>
            <w:vAlign w:val="center"/>
          </w:tcPr>
          <w:p>
            <w:pPr>
              <w:pStyle w:val="TableContents"/>
              <w:bidi w:val="0"/>
              <w:spacing w:before="0" w:after="283"/>
              <w:ind w:left="0" w:right="0" w:hanging="0"/>
              <w:jc w:val="left"/>
              <w:rPr/>
            </w:pPr>
            <w:r>
              <w:rPr/>
              <w:t> </w:t>
            </w:r>
          </w:p>
        </w:tc>
        <w:tc>
          <w:tcPr>
            <w:tcW w:w="1052"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135,552</w:t>
            </w:r>
          </w:p>
        </w:tc>
        <w:tc>
          <w:tcPr>
            <w:tcW w:w="80" w:type="dxa"/>
            <w:tcBorders/>
            <w:shd w:fill="CCEEFF" w:val="clear"/>
            <w:vAlign w:val="center"/>
          </w:tcPr>
          <w:p>
            <w:pPr>
              <w:pStyle w:val="TableContents"/>
              <w:bidi w:val="0"/>
              <w:spacing w:before="0" w:after="0"/>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030" w:type="dxa"/>
            <w:tcBorders/>
            <w:shd w:fill="CCEE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142,029</w:t>
            </w:r>
          </w:p>
        </w:tc>
        <w:tc>
          <w:tcPr>
            <w:tcW w:w="82" w:type="dxa"/>
            <w:tcBorders/>
            <w:shd w:fill="CCEEFF" w:val="clear"/>
            <w:vAlign w:val="center"/>
          </w:tcPr>
          <w:p>
            <w:pPr>
              <w:pStyle w:val="TableContents"/>
              <w:bidi w:val="0"/>
              <w:spacing w:before="0" w:after="283"/>
              <w:jc w:val="left"/>
              <w:rPr/>
            </w:pPr>
            <w:r>
              <w:rPr/>
              <w:t> </w:t>
            </w:r>
          </w:p>
        </w:tc>
      </w:tr>
      <w:tr>
        <w:trPr/>
        <w:tc>
          <w:tcPr>
            <w:tcW w:w="7498" w:type="dxa"/>
            <w:tcBorders/>
            <w:shd w:fill="FFFF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Less accumulated depreciation, depletion and amortization</w:t>
            </w:r>
          </w:p>
        </w:tc>
        <w:tc>
          <w:tcPr>
            <w:tcW w:w="60" w:type="dxa"/>
            <w:tcBorders/>
            <w:shd w:fill="FFFFFF" w:val="clear"/>
            <w:vAlign w:val="center"/>
          </w:tcPr>
          <w:p>
            <w:pPr>
              <w:pStyle w:val="TableContents"/>
              <w:bidi w:val="0"/>
              <w:spacing w:before="0" w:after="283"/>
              <w:jc w:val="left"/>
              <w:rPr/>
            </w:pPr>
            <w:r>
              <w:rPr/>
              <w:t> </w:t>
            </w:r>
          </w:p>
        </w:tc>
        <w:tc>
          <w:tcPr>
            <w:tcW w:w="173"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052"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(115,043</w:t>
            </w:r>
          </w:p>
        </w:tc>
        <w:tc>
          <w:tcPr>
            <w:tcW w:w="80"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FFFFFF" w:val="clear"/>
            <w:vAlign w:val="center"/>
          </w:tcPr>
          <w:p>
            <w:pPr>
              <w:pStyle w:val="TableContents"/>
              <w:bidi w:val="0"/>
              <w:spacing w:before="0" w:after="283"/>
              <w:jc w:val="left"/>
              <w:rPr/>
            </w:pPr>
            <w:r>
              <w:rPr/>
              <w:t> </w:t>
            </w:r>
          </w:p>
        </w:tc>
        <w:tc>
          <w:tcPr>
            <w:tcW w:w="17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03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(112,958</w:t>
            </w:r>
          </w:p>
        </w:tc>
        <w:tc>
          <w:tcPr>
            <w:tcW w:w="82"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r>
        <w:trPr/>
        <w:tc>
          <w:tcPr>
            <w:tcW w:w="7498"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3" w:type="dxa"/>
            <w:tcBorders/>
            <w:shd w:fill="CCEEFF" w:val="clear"/>
            <w:vAlign w:val="center"/>
          </w:tcPr>
          <w:p>
            <w:pPr>
              <w:pStyle w:val="TableContents"/>
              <w:bidi w:val="0"/>
              <w:spacing w:before="0" w:after="283"/>
              <w:jc w:val="left"/>
              <w:rPr/>
            </w:pPr>
            <w:r>
              <w:rPr/>
              <w:t> </w:t>
            </w:r>
          </w:p>
        </w:tc>
        <w:tc>
          <w:tcPr>
            <w:tcW w:w="1052"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030" w:type="dxa"/>
            <w:tcBorders/>
            <w:shd w:fill="CCEEFF" w:val="clear"/>
            <w:vAlign w:val="center"/>
          </w:tcPr>
          <w:p>
            <w:pPr>
              <w:pStyle w:val="TableContents"/>
              <w:bidi w:val="0"/>
              <w:spacing w:before="0" w:after="283"/>
              <w:jc w:val="left"/>
              <w:rPr/>
            </w:pPr>
            <w:r>
              <w:rPr/>
              <w:t> </w:t>
            </w:r>
          </w:p>
        </w:tc>
        <w:tc>
          <w:tcPr>
            <w:tcW w:w="82" w:type="dxa"/>
            <w:tcBorders/>
            <w:shd w:fill="CCEEFF" w:val="clear"/>
            <w:vAlign w:val="center"/>
          </w:tcPr>
          <w:p>
            <w:pPr>
              <w:pStyle w:val="TableContents"/>
              <w:bidi w:val="0"/>
              <w:spacing w:before="0" w:after="283"/>
              <w:jc w:val="left"/>
              <w:rPr/>
            </w:pPr>
            <w:r>
              <w:rPr/>
              <w:t> </w:t>
            </w:r>
          </w:p>
        </w:tc>
      </w:tr>
      <w:tr>
        <w:trPr/>
        <w:tc>
          <w:tcPr>
            <w:tcW w:w="7498" w:type="dxa"/>
            <w:tcBorders/>
            <w:shd w:fill="FFFFFF" w:val="clear"/>
            <w:vAlign w:val="center"/>
          </w:tcPr>
          <w:p>
            <w:pPr>
              <w:pStyle w:val="TableContents"/>
              <w:bidi w:val="0"/>
              <w:spacing w:before="0" w:after="0"/>
              <w:ind w:left="360" w:right="0" w:hanging="180"/>
              <w:jc w:val="left"/>
              <w:rPr>
                <w:rFonts w:ascii="Times New Roman" w:hAnsi="Times New Roman"/>
                <w:caps w:val="false"/>
                <w:smallCaps w:val="false"/>
                <w:sz w:val="20"/>
              </w:rPr>
            </w:pPr>
            <w:r>
              <w:rPr>
                <w:rFonts w:ascii="Times New Roman" w:hAnsi="Times New Roman"/>
                <w:caps w:val="false"/>
                <w:smallCaps w:val="false"/>
                <w:sz w:val="20"/>
              </w:rPr>
              <w:t>Oil and natural gas properties, net</w:t>
            </w:r>
          </w:p>
        </w:tc>
        <w:tc>
          <w:tcPr>
            <w:tcW w:w="60" w:type="dxa"/>
            <w:tcBorders/>
            <w:shd w:fill="FFFFFF" w:val="clear"/>
            <w:vAlign w:val="center"/>
          </w:tcPr>
          <w:p>
            <w:pPr>
              <w:pStyle w:val="TableContents"/>
              <w:bidi w:val="0"/>
              <w:spacing w:before="0" w:after="283"/>
              <w:jc w:val="left"/>
              <w:rPr/>
            </w:pPr>
            <w:r>
              <w:rPr/>
              <w:t> </w:t>
            </w:r>
          </w:p>
        </w:tc>
        <w:tc>
          <w:tcPr>
            <w:tcW w:w="173" w:type="dxa"/>
            <w:tcBorders/>
            <w:shd w:fill="FFFFFF" w:val="clear"/>
            <w:vAlign w:val="center"/>
          </w:tcPr>
          <w:p>
            <w:pPr>
              <w:pStyle w:val="TableContents"/>
              <w:bidi w:val="0"/>
              <w:spacing w:before="0" w:after="283"/>
              <w:ind w:left="0" w:right="0" w:hanging="0"/>
              <w:jc w:val="left"/>
              <w:rPr/>
            </w:pPr>
            <w:r>
              <w:rPr/>
              <w:t> </w:t>
            </w:r>
          </w:p>
        </w:tc>
        <w:tc>
          <w:tcPr>
            <w:tcW w:w="1052"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20,509</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ind w:left="0" w:right="0" w:hanging="0"/>
              <w:jc w:val="left"/>
              <w:rPr/>
            </w:pPr>
            <w:r>
              <w:rPr/>
              <w:t> </w:t>
            </w:r>
          </w:p>
        </w:tc>
        <w:tc>
          <w:tcPr>
            <w:tcW w:w="1030"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29,071</w:t>
            </w:r>
          </w:p>
        </w:tc>
        <w:tc>
          <w:tcPr>
            <w:tcW w:w="82" w:type="dxa"/>
            <w:tcBorders/>
            <w:shd w:fill="FFFFFF" w:val="clear"/>
            <w:vAlign w:val="center"/>
          </w:tcPr>
          <w:p>
            <w:pPr>
              <w:pStyle w:val="TableContents"/>
              <w:bidi w:val="0"/>
              <w:spacing w:before="0" w:after="283"/>
              <w:ind w:left="0" w:right="0" w:hanging="0"/>
              <w:jc w:val="left"/>
              <w:rPr/>
            </w:pPr>
            <w:r>
              <w:rPr/>
              <w:t> </w:t>
            </w:r>
          </w:p>
        </w:tc>
      </w:tr>
      <w:tr>
        <w:trPr/>
        <w:tc>
          <w:tcPr>
            <w:tcW w:w="7498"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Unevaluated industrial gas properties, not subject to amortization</w:t>
            </w:r>
          </w:p>
        </w:tc>
        <w:tc>
          <w:tcPr>
            <w:tcW w:w="60" w:type="dxa"/>
            <w:tcBorders/>
            <w:shd w:fill="CCEEFF" w:val="clear"/>
            <w:vAlign w:val="center"/>
          </w:tcPr>
          <w:p>
            <w:pPr>
              <w:pStyle w:val="TableContents"/>
              <w:bidi w:val="0"/>
              <w:spacing w:before="0" w:after="0"/>
              <w:ind w:left="0" w:right="0" w:hanging="0"/>
              <w:jc w:val="left"/>
              <w:rPr/>
            </w:pPr>
            <w:r>
              <w:rPr/>
              <w:t> </w:t>
            </w:r>
          </w:p>
        </w:tc>
        <w:tc>
          <w:tcPr>
            <w:tcW w:w="173"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052"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22,126</w:t>
            </w:r>
          </w:p>
        </w:tc>
        <w:tc>
          <w:tcPr>
            <w:tcW w:w="8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17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030"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9,384</w:t>
            </w:r>
          </w:p>
        </w:tc>
        <w:tc>
          <w:tcPr>
            <w:tcW w:w="82" w:type="dxa"/>
            <w:tcBorders/>
            <w:shd w:fill="CCEEFF" w:val="clear"/>
            <w:vAlign w:val="center"/>
          </w:tcPr>
          <w:p>
            <w:pPr>
              <w:pStyle w:val="TableContents"/>
              <w:bidi w:val="0"/>
              <w:spacing w:before="0" w:after="0"/>
              <w:jc w:val="left"/>
              <w:rPr/>
            </w:pPr>
            <w:r>
              <w:rPr/>
              <w:t> </w:t>
            </w:r>
          </w:p>
        </w:tc>
      </w:tr>
      <w:tr>
        <w:trPr/>
        <w:tc>
          <w:tcPr>
            <w:tcW w:w="7498"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3" w:type="dxa"/>
            <w:tcBorders/>
            <w:shd w:fill="FFFFFF" w:val="clear"/>
            <w:vAlign w:val="center"/>
          </w:tcPr>
          <w:p>
            <w:pPr>
              <w:pStyle w:val="TableContents"/>
              <w:bidi w:val="0"/>
              <w:spacing w:before="0" w:after="283"/>
              <w:jc w:val="left"/>
              <w:rPr/>
            </w:pPr>
            <w:r>
              <w:rPr/>
              <w:t> </w:t>
            </w:r>
          </w:p>
        </w:tc>
        <w:tc>
          <w:tcPr>
            <w:tcW w:w="1052"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1030" w:type="dxa"/>
            <w:tcBorders/>
            <w:shd w:fill="FFFFFF" w:val="clear"/>
            <w:vAlign w:val="center"/>
          </w:tcPr>
          <w:p>
            <w:pPr>
              <w:pStyle w:val="TableContents"/>
              <w:bidi w:val="0"/>
              <w:spacing w:before="0" w:after="283"/>
              <w:jc w:val="left"/>
              <w:rPr/>
            </w:pPr>
            <w:r>
              <w:rPr/>
              <w:t> </w:t>
            </w:r>
          </w:p>
        </w:tc>
        <w:tc>
          <w:tcPr>
            <w:tcW w:w="82" w:type="dxa"/>
            <w:tcBorders/>
            <w:shd w:fill="FFFFFF" w:val="clear"/>
            <w:vAlign w:val="center"/>
          </w:tcPr>
          <w:p>
            <w:pPr>
              <w:pStyle w:val="TableContents"/>
              <w:bidi w:val="0"/>
              <w:spacing w:before="0" w:after="283"/>
              <w:jc w:val="left"/>
              <w:rPr/>
            </w:pPr>
            <w:r>
              <w:rPr/>
              <w:t> </w:t>
            </w:r>
          </w:p>
        </w:tc>
      </w:tr>
      <w:tr>
        <w:trPr/>
        <w:tc>
          <w:tcPr>
            <w:tcW w:w="7498" w:type="dxa"/>
            <w:tcBorders/>
            <w:shd w:fill="CCEEFF" w:val="clear"/>
            <w:vAlign w:val="center"/>
          </w:tcPr>
          <w:p>
            <w:pPr>
              <w:pStyle w:val="TableContents"/>
              <w:bidi w:val="0"/>
              <w:spacing w:before="0" w:after="0"/>
              <w:ind w:left="180" w:right="0" w:firstLine="180"/>
              <w:jc w:val="left"/>
              <w:rPr>
                <w:rFonts w:ascii="Times New Roman" w:hAnsi="Times New Roman"/>
                <w:b/>
                <w:caps w:val="false"/>
                <w:smallCaps w:val="false"/>
                <w:sz w:val="20"/>
              </w:rPr>
            </w:pPr>
            <w:r>
              <w:rPr>
                <w:rFonts w:ascii="Times New Roman" w:hAnsi="Times New Roman"/>
                <w:b/>
                <w:caps w:val="false"/>
                <w:smallCaps w:val="false"/>
                <w:sz w:val="20"/>
              </w:rPr>
              <w:t>Oil, natural gas and industrial gas properties, net</w:t>
            </w:r>
          </w:p>
        </w:tc>
        <w:tc>
          <w:tcPr>
            <w:tcW w:w="60" w:type="dxa"/>
            <w:tcBorders/>
            <w:shd w:fill="CCEEFF" w:val="clear"/>
            <w:vAlign w:val="center"/>
          </w:tcPr>
          <w:p>
            <w:pPr>
              <w:pStyle w:val="TableContents"/>
              <w:bidi w:val="0"/>
              <w:spacing w:before="0" w:after="283"/>
              <w:jc w:val="left"/>
              <w:rPr/>
            </w:pPr>
            <w:r>
              <w:rPr/>
              <w:t> </w:t>
            </w:r>
          </w:p>
        </w:tc>
        <w:tc>
          <w:tcPr>
            <w:tcW w:w="173" w:type="dxa"/>
            <w:tcBorders/>
            <w:shd w:fill="CCEEFF" w:val="clear"/>
            <w:vAlign w:val="center"/>
          </w:tcPr>
          <w:p>
            <w:pPr>
              <w:pStyle w:val="TableContents"/>
              <w:bidi w:val="0"/>
              <w:spacing w:before="0" w:after="283"/>
              <w:ind w:left="0" w:right="0" w:hanging="0"/>
              <w:jc w:val="left"/>
              <w:rPr/>
            </w:pPr>
            <w:r>
              <w:rPr/>
              <w:t> </w:t>
            </w:r>
          </w:p>
        </w:tc>
        <w:tc>
          <w:tcPr>
            <w:tcW w:w="1052"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42,635</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ind w:left="0" w:right="0" w:hanging="0"/>
              <w:jc w:val="left"/>
              <w:rPr/>
            </w:pPr>
            <w:r>
              <w:rPr/>
              <w:t> </w:t>
            </w:r>
          </w:p>
        </w:tc>
        <w:tc>
          <w:tcPr>
            <w:tcW w:w="1030"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38,455</w:t>
            </w:r>
          </w:p>
        </w:tc>
        <w:tc>
          <w:tcPr>
            <w:tcW w:w="82" w:type="dxa"/>
            <w:tcBorders/>
            <w:shd w:fill="CCEEFF" w:val="clear"/>
            <w:vAlign w:val="center"/>
          </w:tcPr>
          <w:p>
            <w:pPr>
              <w:pStyle w:val="TableContents"/>
              <w:bidi w:val="0"/>
              <w:spacing w:before="0" w:after="283"/>
              <w:jc w:val="left"/>
              <w:rPr/>
            </w:pPr>
            <w:r>
              <w:rPr/>
              <w:t> </w:t>
            </w:r>
          </w:p>
        </w:tc>
      </w:tr>
      <w:tr>
        <w:trPr/>
        <w:tc>
          <w:tcPr>
            <w:tcW w:w="7498"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3" w:type="dxa"/>
            <w:tcBorders/>
            <w:shd w:fill="FFFFFF" w:val="clear"/>
            <w:vAlign w:val="center"/>
          </w:tcPr>
          <w:p>
            <w:pPr>
              <w:pStyle w:val="TableContents"/>
              <w:bidi w:val="0"/>
              <w:spacing w:before="0" w:after="283"/>
              <w:jc w:val="left"/>
              <w:rPr/>
            </w:pPr>
            <w:r>
              <w:rPr/>
              <w:t> </w:t>
            </w:r>
          </w:p>
        </w:tc>
        <w:tc>
          <w:tcPr>
            <w:tcW w:w="1052"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1030" w:type="dxa"/>
            <w:tcBorders/>
            <w:shd w:fill="FFFFFF" w:val="clear"/>
            <w:vAlign w:val="center"/>
          </w:tcPr>
          <w:p>
            <w:pPr>
              <w:pStyle w:val="TableContents"/>
              <w:bidi w:val="0"/>
              <w:spacing w:before="0" w:after="283"/>
              <w:jc w:val="left"/>
              <w:rPr/>
            </w:pPr>
            <w:r>
              <w:rPr/>
              <w:t> </w:t>
            </w:r>
          </w:p>
        </w:tc>
        <w:tc>
          <w:tcPr>
            <w:tcW w:w="82" w:type="dxa"/>
            <w:tcBorders/>
            <w:shd w:fill="FFFFFF" w:val="clear"/>
            <w:vAlign w:val="center"/>
          </w:tcPr>
          <w:p>
            <w:pPr>
              <w:pStyle w:val="TableContents"/>
              <w:bidi w:val="0"/>
              <w:spacing w:before="0" w:after="283"/>
              <w:jc w:val="left"/>
              <w:rPr/>
            </w:pPr>
            <w:r>
              <w:rPr/>
              <w:t> </w:t>
            </w:r>
          </w:p>
        </w:tc>
      </w:tr>
      <w:tr>
        <w:trPr/>
        <w:tc>
          <w:tcPr>
            <w:tcW w:w="7498" w:type="dxa"/>
            <w:tcBorders/>
            <w:shd w:fill="CCEEFF" w:val="clear"/>
            <w:vAlign w:val="center"/>
          </w:tcPr>
          <w:p>
            <w:pPr>
              <w:pStyle w:val="TableContents"/>
              <w:bidi w:val="0"/>
              <w:spacing w:before="0" w:after="0"/>
              <w:ind w:left="0" w:right="0" w:hanging="0"/>
              <w:jc w:val="left"/>
              <w:rPr>
                <w:rFonts w:ascii="Times New Roman" w:hAnsi="Times New Roman"/>
                <w:b/>
                <w:sz w:val="20"/>
              </w:rPr>
            </w:pPr>
            <w:r>
              <w:rPr>
                <w:rFonts w:ascii="Times New Roman" w:hAnsi="Times New Roman"/>
                <w:b/>
                <w:sz w:val="20"/>
              </w:rPr>
              <w:t>Other Assets:</w:t>
            </w:r>
          </w:p>
        </w:tc>
        <w:tc>
          <w:tcPr>
            <w:tcW w:w="60" w:type="dxa"/>
            <w:tcBorders/>
            <w:shd w:fill="CCEEFF" w:val="clear"/>
            <w:vAlign w:val="center"/>
          </w:tcPr>
          <w:p>
            <w:pPr>
              <w:pStyle w:val="TableContents"/>
              <w:bidi w:val="0"/>
              <w:spacing w:before="0" w:after="283"/>
              <w:jc w:val="left"/>
              <w:rPr/>
            </w:pPr>
            <w:r>
              <w:rPr/>
              <w:t> </w:t>
            </w:r>
          </w:p>
        </w:tc>
        <w:tc>
          <w:tcPr>
            <w:tcW w:w="173" w:type="dxa"/>
            <w:tcBorders/>
            <w:shd w:fill="CCEEFF" w:val="clear"/>
            <w:vAlign w:val="center"/>
          </w:tcPr>
          <w:p>
            <w:pPr>
              <w:pStyle w:val="TableContents"/>
              <w:bidi w:val="0"/>
              <w:spacing w:before="0" w:after="283"/>
              <w:ind w:left="0" w:right="0" w:hanging="0"/>
              <w:jc w:val="left"/>
              <w:rPr/>
            </w:pPr>
            <w:r>
              <w:rPr/>
              <w:t> </w:t>
            </w:r>
          </w:p>
        </w:tc>
        <w:tc>
          <w:tcPr>
            <w:tcW w:w="1052" w:type="dxa"/>
            <w:tcBorders/>
            <w:shd w:fill="CCEEFF" w:val="clear"/>
            <w:vAlign w:val="center"/>
          </w:tcPr>
          <w:p>
            <w:pPr>
              <w:pStyle w:val="TableContents"/>
              <w:bidi w:val="0"/>
              <w:spacing w:before="0" w:after="0"/>
              <w:ind w:left="0" w:right="0" w:hanging="0"/>
              <w:jc w:val="left"/>
              <w:rPr/>
            </w:pPr>
            <w:r>
              <w:rPr/>
              <w:t> </w:t>
            </w:r>
          </w:p>
        </w:tc>
        <w:tc>
          <w:tcPr>
            <w:tcW w:w="80" w:type="dxa"/>
            <w:tcBorders/>
            <w:shd w:fill="CCEEFF" w:val="clear"/>
            <w:vAlign w:val="center"/>
          </w:tcPr>
          <w:p>
            <w:pPr>
              <w:pStyle w:val="TableContents"/>
              <w:bidi w:val="0"/>
              <w:spacing w:before="0" w:after="0"/>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030" w:type="dxa"/>
            <w:tcBorders/>
            <w:shd w:fill="CCEEFF" w:val="clear"/>
            <w:vAlign w:val="center"/>
          </w:tcPr>
          <w:p>
            <w:pPr>
              <w:pStyle w:val="TableContents"/>
              <w:bidi w:val="0"/>
              <w:spacing w:before="0" w:after="283"/>
              <w:jc w:val="left"/>
              <w:rPr/>
            </w:pPr>
            <w:r>
              <w:rPr/>
              <w:t> </w:t>
            </w:r>
          </w:p>
        </w:tc>
        <w:tc>
          <w:tcPr>
            <w:tcW w:w="82" w:type="dxa"/>
            <w:tcBorders/>
            <w:shd w:fill="CCEEFF" w:val="clear"/>
            <w:vAlign w:val="center"/>
          </w:tcPr>
          <w:p>
            <w:pPr>
              <w:pStyle w:val="TableContents"/>
              <w:bidi w:val="0"/>
              <w:spacing w:before="0" w:after="283"/>
              <w:jc w:val="left"/>
              <w:rPr/>
            </w:pPr>
            <w:r>
              <w:rPr/>
              <w:t> </w:t>
            </w:r>
          </w:p>
        </w:tc>
      </w:tr>
      <w:tr>
        <w:trPr/>
        <w:tc>
          <w:tcPr>
            <w:tcW w:w="7498" w:type="dxa"/>
            <w:tcBorders/>
            <w:shd w:fill="FFFFFF" w:val="clear"/>
            <w:vAlign w:val="center"/>
          </w:tcPr>
          <w:p>
            <w:pPr>
              <w:pStyle w:val="TableContents"/>
              <w:bidi w:val="0"/>
              <w:spacing w:before="0" w:after="0"/>
              <w:ind w:left="180" w:right="180" w:hanging="0"/>
              <w:jc w:val="left"/>
              <w:rPr>
                <w:rFonts w:ascii="Times New Roman" w:hAnsi="Times New Roman"/>
                <w:caps w:val="false"/>
                <w:smallCaps w:val="false"/>
                <w:sz w:val="20"/>
              </w:rPr>
            </w:pPr>
            <w:r>
              <w:rPr>
                <w:rFonts w:ascii="Times New Roman" w:hAnsi="Times New Roman"/>
                <w:caps w:val="false"/>
                <w:smallCaps w:val="false"/>
                <w:sz w:val="20"/>
              </w:rPr>
              <w:t>Property and equipment, net</w:t>
            </w:r>
          </w:p>
        </w:tc>
        <w:tc>
          <w:tcPr>
            <w:tcW w:w="60" w:type="dxa"/>
            <w:tcBorders/>
            <w:shd w:fill="FFFFFF" w:val="clear"/>
            <w:vAlign w:val="center"/>
          </w:tcPr>
          <w:p>
            <w:pPr>
              <w:pStyle w:val="TableContents"/>
              <w:bidi w:val="0"/>
              <w:spacing w:before="0" w:after="283"/>
              <w:jc w:val="left"/>
              <w:rPr/>
            </w:pPr>
            <w:r>
              <w:rPr/>
              <w:t> </w:t>
            </w:r>
          </w:p>
        </w:tc>
        <w:tc>
          <w:tcPr>
            <w:tcW w:w="173" w:type="dxa"/>
            <w:tcBorders/>
            <w:shd w:fill="FFFFFF" w:val="clear"/>
            <w:vAlign w:val="center"/>
          </w:tcPr>
          <w:p>
            <w:pPr>
              <w:pStyle w:val="TableContents"/>
              <w:bidi w:val="0"/>
              <w:spacing w:before="0" w:after="283"/>
              <w:ind w:left="0" w:right="0" w:hanging="0"/>
              <w:jc w:val="left"/>
              <w:rPr/>
            </w:pPr>
            <w:r>
              <w:rPr/>
              <w:t> </w:t>
            </w:r>
          </w:p>
        </w:tc>
        <w:tc>
          <w:tcPr>
            <w:tcW w:w="1052"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367</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ind w:left="0" w:right="0" w:hanging="0"/>
              <w:jc w:val="left"/>
              <w:rPr/>
            </w:pPr>
            <w:r>
              <w:rPr/>
              <w:t> </w:t>
            </w:r>
          </w:p>
        </w:tc>
        <w:tc>
          <w:tcPr>
            <w:tcW w:w="1030"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660</w:t>
            </w:r>
          </w:p>
        </w:tc>
        <w:tc>
          <w:tcPr>
            <w:tcW w:w="82" w:type="dxa"/>
            <w:tcBorders/>
            <w:shd w:fill="FFFFFF" w:val="clear"/>
            <w:vAlign w:val="center"/>
          </w:tcPr>
          <w:p>
            <w:pPr>
              <w:pStyle w:val="TableContents"/>
              <w:bidi w:val="0"/>
              <w:spacing w:before="0" w:after="283"/>
              <w:jc w:val="left"/>
              <w:rPr/>
            </w:pPr>
            <w:r>
              <w:rPr/>
              <w:t> </w:t>
            </w:r>
          </w:p>
        </w:tc>
      </w:tr>
      <w:tr>
        <w:trPr/>
        <w:tc>
          <w:tcPr>
            <w:tcW w:w="7498" w:type="dxa"/>
            <w:tcBorders/>
            <w:shd w:fill="CCEEFF" w:val="clear"/>
            <w:vAlign w:val="center"/>
          </w:tcPr>
          <w:p>
            <w:pPr>
              <w:pStyle w:val="TableContents"/>
              <w:bidi w:val="0"/>
              <w:spacing w:before="0" w:after="0"/>
              <w:ind w:left="180" w:right="180" w:hanging="0"/>
              <w:jc w:val="left"/>
              <w:rPr>
                <w:rFonts w:ascii="Times New Roman" w:hAnsi="Times New Roman"/>
                <w:caps w:val="false"/>
                <w:smallCaps w:val="false"/>
                <w:sz w:val="20"/>
              </w:rPr>
            </w:pPr>
            <w:r>
              <w:rPr>
                <w:rFonts w:ascii="Times New Roman" w:hAnsi="Times New Roman"/>
                <w:caps w:val="false"/>
                <w:smallCaps w:val="false"/>
                <w:sz w:val="20"/>
              </w:rPr>
              <w:t>Right-of-use asset</w:t>
            </w:r>
          </w:p>
        </w:tc>
        <w:tc>
          <w:tcPr>
            <w:tcW w:w="60" w:type="dxa"/>
            <w:tcBorders/>
            <w:shd w:fill="CCEEFF" w:val="clear"/>
            <w:vAlign w:val="center"/>
          </w:tcPr>
          <w:p>
            <w:pPr>
              <w:pStyle w:val="TableContents"/>
              <w:bidi w:val="0"/>
              <w:spacing w:before="0" w:after="283"/>
              <w:jc w:val="left"/>
              <w:rPr/>
            </w:pPr>
            <w:r>
              <w:rPr/>
              <w:t> </w:t>
            </w:r>
          </w:p>
        </w:tc>
        <w:tc>
          <w:tcPr>
            <w:tcW w:w="173" w:type="dxa"/>
            <w:tcBorders/>
            <w:shd w:fill="CCEEFF" w:val="clear"/>
            <w:vAlign w:val="center"/>
          </w:tcPr>
          <w:p>
            <w:pPr>
              <w:pStyle w:val="TableContents"/>
              <w:bidi w:val="0"/>
              <w:spacing w:before="0" w:after="283"/>
              <w:ind w:left="0" w:right="0" w:hanging="0"/>
              <w:jc w:val="left"/>
              <w:rPr/>
            </w:pPr>
            <w:r>
              <w:rPr/>
              <w:t> </w:t>
            </w:r>
          </w:p>
        </w:tc>
        <w:tc>
          <w:tcPr>
            <w:tcW w:w="1052"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400</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ind w:left="0" w:right="0" w:hanging="0"/>
              <w:jc w:val="left"/>
              <w:rPr/>
            </w:pPr>
            <w:r>
              <w:rPr/>
              <w:t> </w:t>
            </w:r>
          </w:p>
        </w:tc>
        <w:tc>
          <w:tcPr>
            <w:tcW w:w="1030"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528</w:t>
            </w:r>
          </w:p>
        </w:tc>
        <w:tc>
          <w:tcPr>
            <w:tcW w:w="82" w:type="dxa"/>
            <w:tcBorders/>
            <w:shd w:fill="CCEEFF" w:val="clear"/>
            <w:vAlign w:val="center"/>
          </w:tcPr>
          <w:p>
            <w:pPr>
              <w:pStyle w:val="TableContents"/>
              <w:bidi w:val="0"/>
              <w:spacing w:before="0" w:after="283"/>
              <w:jc w:val="left"/>
              <w:rPr/>
            </w:pPr>
            <w:r>
              <w:rPr/>
              <w:t> </w:t>
            </w:r>
          </w:p>
        </w:tc>
      </w:tr>
      <w:tr>
        <w:trPr/>
        <w:tc>
          <w:tcPr>
            <w:tcW w:w="7498" w:type="dxa"/>
            <w:tcBorders/>
            <w:shd w:fill="FFFFFF" w:val="clear"/>
            <w:vAlign w:val="center"/>
          </w:tcPr>
          <w:p>
            <w:pPr>
              <w:pStyle w:val="TableContents"/>
              <w:bidi w:val="0"/>
              <w:spacing w:before="0" w:after="0"/>
              <w:ind w:left="180" w:right="180" w:hanging="0"/>
              <w:jc w:val="left"/>
              <w:rPr>
                <w:rFonts w:ascii="Times New Roman" w:hAnsi="Times New Roman"/>
                <w:caps w:val="false"/>
                <w:smallCaps w:val="false"/>
                <w:sz w:val="20"/>
              </w:rPr>
            </w:pPr>
            <w:r>
              <w:rPr>
                <w:rFonts w:ascii="Times New Roman" w:hAnsi="Times New Roman"/>
                <w:caps w:val="false"/>
                <w:smallCaps w:val="false"/>
                <w:sz w:val="20"/>
              </w:rPr>
              <w:t>Other assets</w:t>
            </w:r>
          </w:p>
        </w:tc>
        <w:tc>
          <w:tcPr>
            <w:tcW w:w="60" w:type="dxa"/>
            <w:tcBorders/>
            <w:shd w:fill="FFFFFF" w:val="clear"/>
            <w:vAlign w:val="center"/>
          </w:tcPr>
          <w:p>
            <w:pPr>
              <w:pStyle w:val="TableContents"/>
              <w:bidi w:val="0"/>
              <w:spacing w:before="0" w:after="283"/>
              <w:jc w:val="left"/>
              <w:rPr/>
            </w:pPr>
            <w:r>
              <w:rPr/>
              <w:t> </w:t>
            </w:r>
          </w:p>
        </w:tc>
        <w:tc>
          <w:tcPr>
            <w:tcW w:w="173"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052"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296</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03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300</w:t>
            </w:r>
          </w:p>
        </w:tc>
        <w:tc>
          <w:tcPr>
            <w:tcW w:w="82" w:type="dxa"/>
            <w:tcBorders/>
            <w:shd w:fill="FFFFFF" w:val="clear"/>
            <w:vAlign w:val="center"/>
          </w:tcPr>
          <w:p>
            <w:pPr>
              <w:pStyle w:val="TableContents"/>
              <w:bidi w:val="0"/>
              <w:spacing w:before="0" w:after="283"/>
              <w:jc w:val="left"/>
              <w:rPr/>
            </w:pPr>
            <w:r>
              <w:rPr/>
              <w:t> </w:t>
            </w:r>
          </w:p>
        </w:tc>
      </w:tr>
      <w:tr>
        <w:trPr/>
        <w:tc>
          <w:tcPr>
            <w:tcW w:w="7498"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3" w:type="dxa"/>
            <w:tcBorders/>
            <w:shd w:fill="CCEEFF" w:val="clear"/>
            <w:vAlign w:val="center"/>
          </w:tcPr>
          <w:p>
            <w:pPr>
              <w:pStyle w:val="TableContents"/>
              <w:bidi w:val="0"/>
              <w:spacing w:before="0" w:after="283"/>
              <w:jc w:val="left"/>
              <w:rPr/>
            </w:pPr>
            <w:r>
              <w:rPr/>
              <w:t> </w:t>
            </w:r>
          </w:p>
        </w:tc>
        <w:tc>
          <w:tcPr>
            <w:tcW w:w="1052"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030" w:type="dxa"/>
            <w:tcBorders/>
            <w:shd w:fill="CCEEFF" w:val="clear"/>
            <w:vAlign w:val="center"/>
          </w:tcPr>
          <w:p>
            <w:pPr>
              <w:pStyle w:val="TableContents"/>
              <w:bidi w:val="0"/>
              <w:spacing w:before="0" w:after="283"/>
              <w:jc w:val="left"/>
              <w:rPr/>
            </w:pPr>
            <w:r>
              <w:rPr/>
              <w:t> </w:t>
            </w:r>
          </w:p>
        </w:tc>
        <w:tc>
          <w:tcPr>
            <w:tcW w:w="82" w:type="dxa"/>
            <w:tcBorders/>
            <w:shd w:fill="CCEEFF" w:val="clear"/>
            <w:vAlign w:val="center"/>
          </w:tcPr>
          <w:p>
            <w:pPr>
              <w:pStyle w:val="TableContents"/>
              <w:bidi w:val="0"/>
              <w:spacing w:before="0" w:after="283"/>
              <w:jc w:val="left"/>
              <w:rPr/>
            </w:pPr>
            <w:r>
              <w:rPr/>
              <w:t> </w:t>
            </w:r>
          </w:p>
        </w:tc>
      </w:tr>
      <w:tr>
        <w:trPr/>
        <w:tc>
          <w:tcPr>
            <w:tcW w:w="7498"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Total other assets</w:t>
            </w:r>
          </w:p>
        </w:tc>
        <w:tc>
          <w:tcPr>
            <w:tcW w:w="60" w:type="dxa"/>
            <w:tcBorders/>
            <w:shd w:fill="FFFFFF" w:val="clear"/>
            <w:vAlign w:val="center"/>
          </w:tcPr>
          <w:p>
            <w:pPr>
              <w:pStyle w:val="TableContents"/>
              <w:bidi w:val="0"/>
              <w:spacing w:before="0" w:after="283"/>
              <w:jc w:val="left"/>
              <w:rPr/>
            </w:pPr>
            <w:r>
              <w:rPr/>
              <w:t> </w:t>
            </w:r>
          </w:p>
        </w:tc>
        <w:tc>
          <w:tcPr>
            <w:tcW w:w="173" w:type="dxa"/>
            <w:tcBorders/>
            <w:shd w:fill="FFFFFF" w:val="clear"/>
            <w:vAlign w:val="center"/>
          </w:tcPr>
          <w:p>
            <w:pPr>
              <w:pStyle w:val="TableContents"/>
              <w:bidi w:val="0"/>
              <w:spacing w:before="0" w:after="283"/>
              <w:jc w:val="left"/>
              <w:rPr/>
            </w:pPr>
            <w:r>
              <w:rPr/>
              <w:t> </w:t>
            </w:r>
          </w:p>
        </w:tc>
        <w:tc>
          <w:tcPr>
            <w:tcW w:w="1052" w:type="dxa"/>
            <w:tcBorders/>
            <w:shd w:fill="FFFF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1,063</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1030" w:type="dxa"/>
            <w:tcBorders/>
            <w:shd w:fill="FFFF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1,488</w:t>
            </w:r>
          </w:p>
        </w:tc>
        <w:tc>
          <w:tcPr>
            <w:tcW w:w="82" w:type="dxa"/>
            <w:tcBorders/>
            <w:shd w:fill="FFFFFF" w:val="clear"/>
            <w:vAlign w:val="center"/>
          </w:tcPr>
          <w:p>
            <w:pPr>
              <w:pStyle w:val="TableContents"/>
              <w:bidi w:val="0"/>
              <w:spacing w:before="0" w:after="283"/>
              <w:jc w:val="left"/>
              <w:rPr/>
            </w:pPr>
            <w:r>
              <w:rPr/>
              <w:t> </w:t>
            </w:r>
          </w:p>
        </w:tc>
      </w:tr>
      <w:tr>
        <w:trPr/>
        <w:tc>
          <w:tcPr>
            <w:tcW w:w="7498"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3" w:type="dxa"/>
            <w:tcBorders/>
            <w:shd w:fill="CCEEFF" w:val="clear"/>
            <w:vAlign w:val="center"/>
          </w:tcPr>
          <w:p>
            <w:pPr>
              <w:pStyle w:val="TableContents"/>
              <w:bidi w:val="0"/>
              <w:spacing w:before="0" w:after="283"/>
              <w:jc w:val="left"/>
              <w:rPr/>
            </w:pPr>
            <w:r>
              <w:rPr/>
              <w:t> </w:t>
            </w:r>
          </w:p>
        </w:tc>
        <w:tc>
          <w:tcPr>
            <w:tcW w:w="1052"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030" w:type="dxa"/>
            <w:tcBorders/>
            <w:shd w:fill="CCEEFF" w:val="clear"/>
            <w:vAlign w:val="center"/>
          </w:tcPr>
          <w:p>
            <w:pPr>
              <w:pStyle w:val="TableContents"/>
              <w:bidi w:val="0"/>
              <w:spacing w:before="0" w:after="283"/>
              <w:jc w:val="left"/>
              <w:rPr/>
            </w:pPr>
            <w:r>
              <w:rPr/>
              <w:t> </w:t>
            </w:r>
          </w:p>
        </w:tc>
        <w:tc>
          <w:tcPr>
            <w:tcW w:w="82" w:type="dxa"/>
            <w:tcBorders/>
            <w:shd w:fill="CCEEFF" w:val="clear"/>
            <w:vAlign w:val="center"/>
          </w:tcPr>
          <w:p>
            <w:pPr>
              <w:pStyle w:val="TableContents"/>
              <w:bidi w:val="0"/>
              <w:spacing w:before="0" w:after="283"/>
              <w:jc w:val="left"/>
              <w:rPr/>
            </w:pPr>
            <w:r>
              <w:rPr/>
              <w:t> </w:t>
            </w:r>
          </w:p>
        </w:tc>
      </w:tr>
      <w:tr>
        <w:trPr/>
        <w:tc>
          <w:tcPr>
            <w:tcW w:w="7498" w:type="dxa"/>
            <w:tcBorders/>
            <w:shd w:fill="FFFFFF" w:val="clear"/>
            <w:vAlign w:val="center"/>
          </w:tcPr>
          <w:p>
            <w:pPr>
              <w:pStyle w:val="TableContents"/>
              <w:bidi w:val="0"/>
              <w:spacing w:before="0" w:after="0"/>
              <w:ind w:left="540" w:right="0" w:hanging="0"/>
              <w:jc w:val="left"/>
              <w:rPr>
                <w:rFonts w:ascii="Times New Roman" w:hAnsi="Times New Roman"/>
                <w:b/>
                <w:caps w:val="false"/>
                <w:smallCaps w:val="false"/>
                <w:sz w:val="20"/>
              </w:rPr>
            </w:pPr>
            <w:r>
              <w:rPr>
                <w:rFonts w:ascii="Times New Roman" w:hAnsi="Times New Roman"/>
                <w:b/>
                <w:caps w:val="false"/>
                <w:smallCaps w:val="false"/>
                <w:sz w:val="20"/>
              </w:rPr>
              <w:t>Total assets</w:t>
            </w:r>
          </w:p>
        </w:tc>
        <w:tc>
          <w:tcPr>
            <w:tcW w:w="60" w:type="dxa"/>
            <w:tcBorders/>
            <w:shd w:fill="FFFFFF" w:val="clear"/>
            <w:vAlign w:val="center"/>
          </w:tcPr>
          <w:p>
            <w:pPr>
              <w:pStyle w:val="TableContents"/>
              <w:bidi w:val="0"/>
              <w:spacing w:before="0" w:after="283"/>
              <w:ind w:left="0" w:right="0" w:hanging="0"/>
              <w:jc w:val="left"/>
              <w:rPr/>
            </w:pPr>
            <w:r>
              <w:rPr/>
              <w:t> </w:t>
            </w:r>
          </w:p>
        </w:tc>
        <w:tc>
          <w:tcPr>
            <w:tcW w:w="173"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1052"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46,497</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70"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1030"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49,667</w:t>
            </w:r>
          </w:p>
        </w:tc>
        <w:tc>
          <w:tcPr>
            <w:tcW w:w="82" w:type="dxa"/>
            <w:tcBorders/>
            <w:shd w:fill="FFFFFF" w:val="clear"/>
            <w:vAlign w:val="center"/>
          </w:tcPr>
          <w:p>
            <w:pPr>
              <w:pStyle w:val="TableContents"/>
              <w:bidi w:val="0"/>
              <w:spacing w:before="0" w:after="283"/>
              <w:jc w:val="left"/>
              <w:rPr/>
            </w:pPr>
            <w:r>
              <w:rPr/>
              <w:t> </w:t>
            </w:r>
          </w:p>
        </w:tc>
      </w:tr>
      <w:tr>
        <w:trPr/>
        <w:tc>
          <w:tcPr>
            <w:tcW w:w="7498"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3" w:type="dxa"/>
            <w:tcBorders/>
            <w:shd w:fill="CCEEFF" w:val="clear"/>
            <w:vAlign w:val="center"/>
          </w:tcPr>
          <w:p>
            <w:pPr>
              <w:pStyle w:val="TableContents"/>
              <w:bidi w:val="0"/>
              <w:spacing w:before="0" w:after="283"/>
              <w:jc w:val="left"/>
              <w:rPr/>
            </w:pPr>
            <w:r>
              <w:rPr/>
              <w:t> </w:t>
            </w:r>
          </w:p>
        </w:tc>
        <w:tc>
          <w:tcPr>
            <w:tcW w:w="1052"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030" w:type="dxa"/>
            <w:tcBorders/>
            <w:shd w:fill="CCEEFF" w:val="clear"/>
            <w:vAlign w:val="center"/>
          </w:tcPr>
          <w:p>
            <w:pPr>
              <w:pStyle w:val="TableContents"/>
              <w:bidi w:val="0"/>
              <w:spacing w:before="0" w:after="283"/>
              <w:jc w:val="left"/>
              <w:rPr/>
            </w:pPr>
            <w:r>
              <w:rPr/>
              <w:t> </w:t>
            </w:r>
          </w:p>
        </w:tc>
        <w:tc>
          <w:tcPr>
            <w:tcW w:w="82" w:type="dxa"/>
            <w:tcBorders/>
            <w:shd w:fill="CCEEFF" w:val="clear"/>
            <w:vAlign w:val="center"/>
          </w:tcPr>
          <w:p>
            <w:pPr>
              <w:pStyle w:val="TableContents"/>
              <w:bidi w:val="0"/>
              <w:spacing w:before="0" w:after="283"/>
              <w:jc w:val="left"/>
              <w:rPr/>
            </w:pPr>
            <w:r>
              <w:rPr/>
              <w:t> </w:t>
            </w:r>
          </w:p>
        </w:tc>
      </w:tr>
      <w:tr>
        <w:trPr/>
        <w:tc>
          <w:tcPr>
            <w:tcW w:w="7498" w:type="dxa"/>
            <w:tcBorders/>
            <w:shd w:fill="FFFFFF" w:val="cle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LIABILITIES AND SHAREHOLDERS’ EQUITY</w:t>
            </w:r>
          </w:p>
        </w:tc>
        <w:tc>
          <w:tcPr>
            <w:tcW w:w="60" w:type="dxa"/>
            <w:tcBorders/>
            <w:shd w:fill="FFFFFF" w:val="clear"/>
            <w:vAlign w:val="center"/>
          </w:tcPr>
          <w:p>
            <w:pPr>
              <w:pStyle w:val="TableContents"/>
              <w:bidi w:val="0"/>
              <w:spacing w:before="0" w:after="283"/>
              <w:jc w:val="left"/>
              <w:rPr/>
            </w:pPr>
            <w:r>
              <w:rPr/>
              <w:t> </w:t>
            </w:r>
          </w:p>
        </w:tc>
        <w:tc>
          <w:tcPr>
            <w:tcW w:w="173" w:type="dxa"/>
            <w:tcBorders/>
            <w:shd w:fill="FFFFFF" w:val="clear"/>
            <w:vAlign w:val="center"/>
          </w:tcPr>
          <w:p>
            <w:pPr>
              <w:pStyle w:val="TableContents"/>
              <w:bidi w:val="0"/>
              <w:spacing w:before="0" w:after="283"/>
              <w:jc w:val="left"/>
              <w:rPr/>
            </w:pPr>
            <w:r>
              <w:rPr/>
              <w:t> </w:t>
            </w:r>
          </w:p>
        </w:tc>
        <w:tc>
          <w:tcPr>
            <w:tcW w:w="1052" w:type="dxa"/>
            <w:tcBorders/>
            <w:shd w:fill="FFFFFF" w:val="clear"/>
            <w:vAlign w:val="center"/>
          </w:tcPr>
          <w:p>
            <w:pPr>
              <w:pStyle w:val="TableContents"/>
              <w:bidi w:val="0"/>
              <w:spacing w:before="0" w:after="283"/>
              <w:jc w:val="center"/>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1030" w:type="dxa"/>
            <w:tcBorders/>
            <w:shd w:fill="FFFFFF" w:val="clear"/>
            <w:vAlign w:val="center"/>
          </w:tcPr>
          <w:p>
            <w:pPr>
              <w:pStyle w:val="TableContents"/>
              <w:bidi w:val="0"/>
              <w:spacing w:before="0" w:after="283"/>
              <w:jc w:val="center"/>
              <w:rPr/>
            </w:pPr>
            <w:r>
              <w:rPr/>
              <w:t> </w:t>
            </w:r>
          </w:p>
        </w:tc>
        <w:tc>
          <w:tcPr>
            <w:tcW w:w="82" w:type="dxa"/>
            <w:tcBorders/>
            <w:shd w:fill="FFFFFF" w:val="clear"/>
            <w:vAlign w:val="center"/>
          </w:tcPr>
          <w:p>
            <w:pPr>
              <w:pStyle w:val="TableContents"/>
              <w:bidi w:val="0"/>
              <w:spacing w:before="0" w:after="283"/>
              <w:jc w:val="left"/>
              <w:rPr/>
            </w:pPr>
            <w:r>
              <w:rPr/>
              <w:t> </w:t>
            </w:r>
          </w:p>
        </w:tc>
      </w:tr>
      <w:tr>
        <w:trPr/>
        <w:tc>
          <w:tcPr>
            <w:tcW w:w="7498" w:type="dxa"/>
            <w:tcBorders/>
            <w:shd w:fill="CCEEFF" w:val="clear"/>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Current liabilities:</w:t>
            </w:r>
          </w:p>
        </w:tc>
        <w:tc>
          <w:tcPr>
            <w:tcW w:w="60" w:type="dxa"/>
            <w:tcBorders/>
            <w:shd w:fill="CCEEFF" w:val="clear"/>
            <w:vAlign w:val="center"/>
          </w:tcPr>
          <w:p>
            <w:pPr>
              <w:pStyle w:val="TableContents"/>
              <w:bidi w:val="0"/>
              <w:spacing w:before="0" w:after="283"/>
              <w:jc w:val="left"/>
              <w:rPr/>
            </w:pPr>
            <w:r>
              <w:rPr/>
              <w:t> </w:t>
            </w:r>
          </w:p>
        </w:tc>
        <w:tc>
          <w:tcPr>
            <w:tcW w:w="173" w:type="dxa"/>
            <w:tcBorders/>
            <w:shd w:fill="CCEEFF" w:val="clear"/>
            <w:vAlign w:val="center"/>
          </w:tcPr>
          <w:p>
            <w:pPr>
              <w:pStyle w:val="TableContents"/>
              <w:bidi w:val="0"/>
              <w:spacing w:before="0" w:after="283"/>
              <w:jc w:val="left"/>
              <w:rPr/>
            </w:pPr>
            <w:r>
              <w:rPr/>
              <w:t> </w:t>
            </w:r>
          </w:p>
        </w:tc>
        <w:tc>
          <w:tcPr>
            <w:tcW w:w="1052"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030" w:type="dxa"/>
            <w:tcBorders/>
            <w:shd w:fill="CCEEFF" w:val="clear"/>
            <w:vAlign w:val="center"/>
          </w:tcPr>
          <w:p>
            <w:pPr>
              <w:pStyle w:val="TableContents"/>
              <w:bidi w:val="0"/>
              <w:spacing w:before="0" w:after="283"/>
              <w:jc w:val="left"/>
              <w:rPr/>
            </w:pPr>
            <w:r>
              <w:rPr/>
              <w:t> </w:t>
            </w:r>
          </w:p>
        </w:tc>
        <w:tc>
          <w:tcPr>
            <w:tcW w:w="82" w:type="dxa"/>
            <w:tcBorders/>
            <w:shd w:fill="CCEEFF" w:val="clear"/>
            <w:vAlign w:val="center"/>
          </w:tcPr>
          <w:p>
            <w:pPr>
              <w:pStyle w:val="TableContents"/>
              <w:bidi w:val="0"/>
              <w:spacing w:before="0" w:after="283"/>
              <w:jc w:val="left"/>
              <w:rPr/>
            </w:pPr>
            <w:r>
              <w:rPr/>
              <w:t> </w:t>
            </w:r>
          </w:p>
        </w:tc>
      </w:tr>
      <w:tr>
        <w:trPr/>
        <w:tc>
          <w:tcPr>
            <w:tcW w:w="7498" w:type="dxa"/>
            <w:tcBorders/>
            <w:shd w:fill="FFFF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Accounts payable and accrued liabilities</w:t>
            </w:r>
          </w:p>
        </w:tc>
        <w:tc>
          <w:tcPr>
            <w:tcW w:w="60" w:type="dxa"/>
            <w:tcBorders/>
            <w:shd w:fill="FFFFFF" w:val="clear"/>
            <w:vAlign w:val="center"/>
          </w:tcPr>
          <w:p>
            <w:pPr>
              <w:pStyle w:val="TableContents"/>
              <w:bidi w:val="0"/>
              <w:spacing w:before="0" w:after="283"/>
              <w:ind w:left="0" w:right="0" w:hanging="0"/>
              <w:jc w:val="left"/>
              <w:rPr/>
            </w:pPr>
            <w:r>
              <w:rPr/>
              <w:t> </w:t>
            </w:r>
          </w:p>
        </w:tc>
        <w:tc>
          <w:tcPr>
            <w:tcW w:w="173" w:type="dxa"/>
            <w:tcBorders/>
            <w:shd w:fill="FFFF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1052"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3,977</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70" w:type="dxa"/>
            <w:tcBorders/>
            <w:shd w:fill="FFFF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1030"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5,466</w:t>
            </w:r>
          </w:p>
        </w:tc>
        <w:tc>
          <w:tcPr>
            <w:tcW w:w="82" w:type="dxa"/>
            <w:tcBorders/>
            <w:shd w:fill="FFFFFF" w:val="clear"/>
            <w:vAlign w:val="center"/>
          </w:tcPr>
          <w:p>
            <w:pPr>
              <w:pStyle w:val="TableContents"/>
              <w:bidi w:val="0"/>
              <w:spacing w:before="0" w:after="283"/>
              <w:jc w:val="left"/>
              <w:rPr/>
            </w:pPr>
            <w:r>
              <w:rPr/>
              <w:t> </w:t>
            </w:r>
          </w:p>
        </w:tc>
      </w:tr>
      <w:tr>
        <w:trPr/>
        <w:tc>
          <w:tcPr>
            <w:tcW w:w="7498" w:type="dxa"/>
            <w:tcBorders/>
            <w:shd w:fill="CCEE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Accrued compensation and benefits</w:t>
            </w:r>
          </w:p>
        </w:tc>
        <w:tc>
          <w:tcPr>
            <w:tcW w:w="60" w:type="dxa"/>
            <w:tcBorders/>
            <w:shd w:fill="CCEEFF" w:val="clear"/>
            <w:vAlign w:val="center"/>
          </w:tcPr>
          <w:p>
            <w:pPr>
              <w:pStyle w:val="TableContents"/>
              <w:bidi w:val="0"/>
              <w:spacing w:before="0" w:after="283"/>
              <w:jc w:val="left"/>
              <w:rPr/>
            </w:pPr>
            <w:r>
              <w:rPr/>
              <w:t> </w:t>
            </w:r>
          </w:p>
        </w:tc>
        <w:tc>
          <w:tcPr>
            <w:tcW w:w="173" w:type="dxa"/>
            <w:tcBorders/>
            <w:shd w:fill="CCEEFF" w:val="clear"/>
            <w:vAlign w:val="center"/>
          </w:tcPr>
          <w:p>
            <w:pPr>
              <w:pStyle w:val="TableContents"/>
              <w:bidi w:val="0"/>
              <w:spacing w:before="0" w:after="283"/>
              <w:ind w:left="0" w:right="0" w:hanging="0"/>
              <w:jc w:val="left"/>
              <w:rPr/>
            </w:pPr>
            <w:r>
              <w:rPr/>
              <w:t> </w:t>
            </w:r>
          </w:p>
        </w:tc>
        <w:tc>
          <w:tcPr>
            <w:tcW w:w="1052"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59</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ind w:left="0" w:right="0" w:hanging="0"/>
              <w:jc w:val="left"/>
              <w:rPr/>
            </w:pPr>
            <w:r>
              <w:rPr/>
              <w:t> </w:t>
            </w:r>
          </w:p>
        </w:tc>
        <w:tc>
          <w:tcPr>
            <w:tcW w:w="1030"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850</w:t>
            </w:r>
          </w:p>
        </w:tc>
        <w:tc>
          <w:tcPr>
            <w:tcW w:w="82" w:type="dxa"/>
            <w:tcBorders/>
            <w:shd w:fill="CCEEFF" w:val="clear"/>
            <w:vAlign w:val="center"/>
          </w:tcPr>
          <w:p>
            <w:pPr>
              <w:pStyle w:val="TableContents"/>
              <w:bidi w:val="0"/>
              <w:spacing w:before="0" w:after="283"/>
              <w:jc w:val="left"/>
              <w:rPr/>
            </w:pPr>
            <w:r>
              <w:rPr/>
              <w:t> </w:t>
            </w:r>
          </w:p>
        </w:tc>
      </w:tr>
      <w:tr>
        <w:trPr/>
        <w:tc>
          <w:tcPr>
            <w:tcW w:w="7498" w:type="dxa"/>
            <w:tcBorders/>
            <w:shd w:fill="FFFFFF" w:val="clear"/>
            <w:vAlign w:val="center"/>
          </w:tcPr>
          <w:p>
            <w:pPr>
              <w:pStyle w:val="TableContents"/>
              <w:bidi w:val="0"/>
              <w:spacing w:before="0" w:after="0"/>
              <w:ind w:left="180" w:right="180" w:hanging="0"/>
              <w:jc w:val="left"/>
              <w:rPr>
                <w:rFonts w:ascii="Times New Roman" w:hAnsi="Times New Roman"/>
                <w:sz w:val="20"/>
              </w:rPr>
            </w:pPr>
            <w:r>
              <w:rPr>
                <w:rFonts w:ascii="Times New Roman" w:hAnsi="Times New Roman"/>
                <w:sz w:val="20"/>
              </w:rPr>
              <w:t>Revenue and royalties payable</w:t>
            </w:r>
          </w:p>
        </w:tc>
        <w:tc>
          <w:tcPr>
            <w:tcW w:w="60" w:type="dxa"/>
            <w:tcBorders/>
            <w:shd w:fill="FFFFFF" w:val="clear"/>
            <w:vAlign w:val="center"/>
          </w:tcPr>
          <w:p>
            <w:pPr>
              <w:pStyle w:val="TableContents"/>
              <w:bidi w:val="0"/>
              <w:spacing w:before="0" w:after="283"/>
              <w:jc w:val="left"/>
              <w:rPr/>
            </w:pPr>
            <w:r>
              <w:rPr/>
              <w:t> </w:t>
            </w:r>
          </w:p>
        </w:tc>
        <w:tc>
          <w:tcPr>
            <w:tcW w:w="173" w:type="dxa"/>
            <w:tcBorders/>
            <w:shd w:fill="FFFFFF" w:val="clear"/>
            <w:vAlign w:val="center"/>
          </w:tcPr>
          <w:p>
            <w:pPr>
              <w:pStyle w:val="TableContents"/>
              <w:bidi w:val="0"/>
              <w:spacing w:before="0" w:after="283"/>
              <w:ind w:left="0" w:right="0" w:hanging="0"/>
              <w:jc w:val="left"/>
              <w:rPr/>
            </w:pPr>
            <w:r>
              <w:rPr/>
              <w:t> </w:t>
            </w:r>
          </w:p>
        </w:tc>
        <w:tc>
          <w:tcPr>
            <w:tcW w:w="1052"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3,926</w:t>
            </w:r>
          </w:p>
        </w:tc>
        <w:tc>
          <w:tcPr>
            <w:tcW w:w="80" w:type="dxa"/>
            <w:tcBorders/>
            <w:shd w:fill="FFFFFF" w:val="clear"/>
            <w:vAlign w:val="center"/>
          </w:tcPr>
          <w:p>
            <w:pPr>
              <w:pStyle w:val="TableContents"/>
              <w:bidi w:val="0"/>
              <w:spacing w:before="0" w:after="0"/>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1030" w:type="dxa"/>
            <w:tcBorders/>
            <w:shd w:fill="FFFF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4,836</w:t>
            </w:r>
          </w:p>
        </w:tc>
        <w:tc>
          <w:tcPr>
            <w:tcW w:w="82" w:type="dxa"/>
            <w:tcBorders/>
            <w:shd w:fill="FFFFFF" w:val="clear"/>
            <w:vAlign w:val="center"/>
          </w:tcPr>
          <w:p>
            <w:pPr>
              <w:pStyle w:val="TableContents"/>
              <w:bidi w:val="0"/>
              <w:spacing w:before="0" w:after="283"/>
              <w:jc w:val="left"/>
              <w:rPr/>
            </w:pPr>
            <w:r>
              <w:rPr/>
              <w:t> </w:t>
            </w:r>
          </w:p>
        </w:tc>
      </w:tr>
      <w:tr>
        <w:trPr/>
        <w:tc>
          <w:tcPr>
            <w:tcW w:w="7498" w:type="dxa"/>
            <w:tcBorders/>
            <w:shd w:fill="CCEE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Asset retirement obligations</w:t>
            </w:r>
          </w:p>
        </w:tc>
        <w:tc>
          <w:tcPr>
            <w:tcW w:w="60" w:type="dxa"/>
            <w:tcBorders/>
            <w:shd w:fill="CCEEFF" w:val="clear"/>
            <w:vAlign w:val="center"/>
          </w:tcPr>
          <w:p>
            <w:pPr>
              <w:pStyle w:val="TableContents"/>
              <w:bidi w:val="0"/>
              <w:spacing w:before="0" w:after="283"/>
              <w:jc w:val="left"/>
              <w:rPr/>
            </w:pPr>
            <w:r>
              <w:rPr/>
              <w:t> </w:t>
            </w:r>
          </w:p>
        </w:tc>
        <w:tc>
          <w:tcPr>
            <w:tcW w:w="173" w:type="dxa"/>
            <w:tcBorders/>
            <w:shd w:fill="CCEEFF" w:val="clear"/>
            <w:vAlign w:val="center"/>
          </w:tcPr>
          <w:p>
            <w:pPr>
              <w:pStyle w:val="TableContents"/>
              <w:bidi w:val="0"/>
              <w:spacing w:before="0" w:after="283"/>
              <w:ind w:left="0" w:right="0" w:hanging="0"/>
              <w:jc w:val="left"/>
              <w:rPr/>
            </w:pPr>
            <w:r>
              <w:rPr/>
              <w:t> </w:t>
            </w:r>
          </w:p>
        </w:tc>
        <w:tc>
          <w:tcPr>
            <w:tcW w:w="1052"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300</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ind w:left="0" w:right="0" w:hanging="0"/>
              <w:jc w:val="left"/>
              <w:rPr/>
            </w:pPr>
            <w:r>
              <w:rPr/>
              <w:t> </w:t>
            </w:r>
          </w:p>
        </w:tc>
        <w:tc>
          <w:tcPr>
            <w:tcW w:w="1030"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1,000</w:t>
            </w:r>
          </w:p>
        </w:tc>
        <w:tc>
          <w:tcPr>
            <w:tcW w:w="82" w:type="dxa"/>
            <w:tcBorders/>
            <w:shd w:fill="CCEEFF" w:val="clear"/>
            <w:vAlign w:val="center"/>
          </w:tcPr>
          <w:p>
            <w:pPr>
              <w:pStyle w:val="TableContents"/>
              <w:bidi w:val="0"/>
              <w:spacing w:before="0" w:after="283"/>
              <w:jc w:val="left"/>
              <w:rPr/>
            </w:pPr>
            <w:r>
              <w:rPr/>
              <w:t> </w:t>
            </w:r>
          </w:p>
        </w:tc>
      </w:tr>
      <w:tr>
        <w:trPr/>
        <w:tc>
          <w:tcPr>
            <w:tcW w:w="7498" w:type="dxa"/>
            <w:tcBorders/>
            <w:shd w:fill="FFFF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Current lease obligation</w:t>
            </w:r>
          </w:p>
        </w:tc>
        <w:tc>
          <w:tcPr>
            <w:tcW w:w="60" w:type="dxa"/>
            <w:tcBorders/>
            <w:shd w:fill="FFFFFF" w:val="clear"/>
            <w:vAlign w:val="center"/>
          </w:tcPr>
          <w:p>
            <w:pPr>
              <w:pStyle w:val="TableContents"/>
              <w:bidi w:val="0"/>
              <w:spacing w:before="0" w:after="283"/>
              <w:jc w:val="left"/>
              <w:rPr/>
            </w:pPr>
            <w:r>
              <w:rPr/>
              <w:t> </w:t>
            </w:r>
          </w:p>
        </w:tc>
        <w:tc>
          <w:tcPr>
            <w:tcW w:w="173"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052"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206</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03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196</w:t>
            </w:r>
          </w:p>
        </w:tc>
        <w:tc>
          <w:tcPr>
            <w:tcW w:w="82" w:type="dxa"/>
            <w:tcBorders/>
            <w:shd w:fill="FFFFFF" w:val="clear"/>
            <w:vAlign w:val="center"/>
          </w:tcPr>
          <w:p>
            <w:pPr>
              <w:pStyle w:val="TableContents"/>
              <w:bidi w:val="0"/>
              <w:spacing w:before="0" w:after="283"/>
              <w:jc w:val="left"/>
              <w:rPr/>
            </w:pPr>
            <w:r>
              <w:rPr/>
              <w:t> </w:t>
            </w:r>
          </w:p>
        </w:tc>
      </w:tr>
      <w:tr>
        <w:trPr/>
        <w:tc>
          <w:tcPr>
            <w:tcW w:w="7498"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3" w:type="dxa"/>
            <w:tcBorders/>
            <w:shd w:fill="CCEEFF" w:val="clear"/>
            <w:vAlign w:val="center"/>
          </w:tcPr>
          <w:p>
            <w:pPr>
              <w:pStyle w:val="TableContents"/>
              <w:bidi w:val="0"/>
              <w:spacing w:before="0" w:after="283"/>
              <w:jc w:val="left"/>
              <w:rPr/>
            </w:pPr>
            <w:r>
              <w:rPr/>
              <w:t> </w:t>
            </w:r>
          </w:p>
        </w:tc>
        <w:tc>
          <w:tcPr>
            <w:tcW w:w="1052"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030" w:type="dxa"/>
            <w:tcBorders/>
            <w:shd w:fill="CCEEFF" w:val="clear"/>
            <w:vAlign w:val="center"/>
          </w:tcPr>
          <w:p>
            <w:pPr>
              <w:pStyle w:val="TableContents"/>
              <w:bidi w:val="0"/>
              <w:spacing w:before="0" w:after="283"/>
              <w:jc w:val="left"/>
              <w:rPr/>
            </w:pPr>
            <w:r>
              <w:rPr/>
              <w:t> </w:t>
            </w:r>
          </w:p>
        </w:tc>
        <w:tc>
          <w:tcPr>
            <w:tcW w:w="82" w:type="dxa"/>
            <w:tcBorders/>
            <w:shd w:fill="CCEEFF" w:val="clear"/>
            <w:vAlign w:val="center"/>
          </w:tcPr>
          <w:p>
            <w:pPr>
              <w:pStyle w:val="TableContents"/>
              <w:bidi w:val="0"/>
              <w:spacing w:before="0" w:after="283"/>
              <w:jc w:val="left"/>
              <w:rPr/>
            </w:pPr>
            <w:r>
              <w:rPr/>
              <w:t> </w:t>
            </w:r>
          </w:p>
        </w:tc>
      </w:tr>
      <w:tr>
        <w:trPr/>
        <w:tc>
          <w:tcPr>
            <w:tcW w:w="7498" w:type="dxa"/>
            <w:tcBorders/>
            <w:shd w:fill="FFFFFF" w:val="clear"/>
            <w:vAlign w:val="center"/>
          </w:tcPr>
          <w:p>
            <w:pPr>
              <w:pStyle w:val="TableContents"/>
              <w:bidi w:val="0"/>
              <w:spacing w:before="0" w:after="0"/>
              <w:ind w:left="360" w:right="0" w:hanging="0"/>
              <w:jc w:val="left"/>
              <w:rPr>
                <w:rFonts w:ascii="Times New Roman" w:hAnsi="Times New Roman"/>
                <w:b/>
                <w:caps w:val="false"/>
                <w:smallCaps w:val="false"/>
                <w:sz w:val="20"/>
              </w:rPr>
            </w:pPr>
            <w:r>
              <w:rPr>
                <w:rFonts w:ascii="Times New Roman" w:hAnsi="Times New Roman"/>
                <w:b/>
                <w:caps w:val="false"/>
                <w:smallCaps w:val="false"/>
                <w:sz w:val="20"/>
              </w:rPr>
              <w:t>Total current liabilities</w:t>
            </w:r>
          </w:p>
        </w:tc>
        <w:tc>
          <w:tcPr>
            <w:tcW w:w="60" w:type="dxa"/>
            <w:tcBorders/>
            <w:shd w:fill="FFFFFF" w:val="clear"/>
            <w:vAlign w:val="center"/>
          </w:tcPr>
          <w:p>
            <w:pPr>
              <w:pStyle w:val="TableContents"/>
              <w:bidi w:val="0"/>
              <w:spacing w:before="0" w:after="283"/>
              <w:jc w:val="left"/>
              <w:rPr/>
            </w:pPr>
            <w:r>
              <w:rPr/>
              <w:t> </w:t>
            </w:r>
          </w:p>
        </w:tc>
        <w:tc>
          <w:tcPr>
            <w:tcW w:w="173" w:type="dxa"/>
            <w:tcBorders/>
            <w:shd w:fill="FFFFFF" w:val="clear"/>
            <w:vAlign w:val="center"/>
          </w:tcPr>
          <w:p>
            <w:pPr>
              <w:pStyle w:val="TableContents"/>
              <w:bidi w:val="0"/>
              <w:spacing w:before="0" w:after="283"/>
              <w:ind w:left="0" w:right="0" w:hanging="0"/>
              <w:jc w:val="left"/>
              <w:rPr/>
            </w:pPr>
            <w:r>
              <w:rPr/>
              <w:t> </w:t>
            </w:r>
          </w:p>
        </w:tc>
        <w:tc>
          <w:tcPr>
            <w:tcW w:w="1052"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8,468</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ind w:left="0" w:right="0" w:hanging="0"/>
              <w:jc w:val="left"/>
              <w:rPr/>
            </w:pPr>
            <w:r>
              <w:rPr/>
              <w:t> </w:t>
            </w:r>
          </w:p>
        </w:tc>
        <w:tc>
          <w:tcPr>
            <w:tcW w:w="1030"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12,348</w:t>
            </w:r>
          </w:p>
        </w:tc>
        <w:tc>
          <w:tcPr>
            <w:tcW w:w="82" w:type="dxa"/>
            <w:tcBorders/>
            <w:shd w:fill="FFFFFF" w:val="clear"/>
            <w:vAlign w:val="center"/>
          </w:tcPr>
          <w:p>
            <w:pPr>
              <w:pStyle w:val="TableContents"/>
              <w:bidi w:val="0"/>
              <w:spacing w:before="0" w:after="283"/>
              <w:jc w:val="left"/>
              <w:rPr/>
            </w:pPr>
            <w:r>
              <w:rPr/>
              <w:t> </w:t>
            </w:r>
          </w:p>
        </w:tc>
      </w:tr>
      <w:tr>
        <w:trPr/>
        <w:tc>
          <w:tcPr>
            <w:tcW w:w="7498"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3" w:type="dxa"/>
            <w:tcBorders/>
            <w:shd w:fill="CCEEFF" w:val="clear"/>
            <w:vAlign w:val="center"/>
          </w:tcPr>
          <w:p>
            <w:pPr>
              <w:pStyle w:val="TableContents"/>
              <w:bidi w:val="0"/>
              <w:spacing w:before="0" w:after="283"/>
              <w:jc w:val="left"/>
              <w:rPr/>
            </w:pPr>
            <w:r>
              <w:rPr/>
              <w:t> </w:t>
            </w:r>
          </w:p>
        </w:tc>
        <w:tc>
          <w:tcPr>
            <w:tcW w:w="1052"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030" w:type="dxa"/>
            <w:tcBorders/>
            <w:shd w:fill="CCEEFF" w:val="clear"/>
            <w:vAlign w:val="center"/>
          </w:tcPr>
          <w:p>
            <w:pPr>
              <w:pStyle w:val="TableContents"/>
              <w:bidi w:val="0"/>
              <w:spacing w:before="0" w:after="283"/>
              <w:jc w:val="left"/>
              <w:rPr/>
            </w:pPr>
            <w:r>
              <w:rPr/>
              <w:t> </w:t>
            </w:r>
          </w:p>
        </w:tc>
        <w:tc>
          <w:tcPr>
            <w:tcW w:w="82" w:type="dxa"/>
            <w:tcBorders/>
            <w:shd w:fill="CCEEFF" w:val="clear"/>
            <w:vAlign w:val="center"/>
          </w:tcPr>
          <w:p>
            <w:pPr>
              <w:pStyle w:val="TableContents"/>
              <w:bidi w:val="0"/>
              <w:spacing w:before="0" w:after="283"/>
              <w:jc w:val="left"/>
              <w:rPr/>
            </w:pPr>
            <w:r>
              <w:rPr/>
              <w:t> </w:t>
            </w:r>
          </w:p>
        </w:tc>
      </w:tr>
      <w:tr>
        <w:trPr/>
        <w:tc>
          <w:tcPr>
            <w:tcW w:w="7498" w:type="dxa"/>
            <w:tcBorders/>
            <w:shd w:fill="FFFFFF" w:val="clear"/>
            <w:vAlign w:val="center"/>
          </w:tcPr>
          <w:p>
            <w:pPr>
              <w:pStyle w:val="TableContents"/>
              <w:bidi w:val="0"/>
              <w:spacing w:before="0" w:after="0"/>
              <w:ind w:left="0" w:right="0" w:hanging="0"/>
              <w:jc w:val="left"/>
              <w:rPr>
                <w:rFonts w:ascii="Times New Roman" w:hAnsi="Times New Roman"/>
                <w:b/>
                <w:sz w:val="20"/>
              </w:rPr>
            </w:pPr>
            <w:r>
              <w:rPr>
                <w:rFonts w:ascii="Times New Roman" w:hAnsi="Times New Roman"/>
                <w:b/>
                <w:sz w:val="20"/>
              </w:rPr>
              <w:t>Noncurrent liabilities:</w:t>
            </w:r>
          </w:p>
        </w:tc>
        <w:tc>
          <w:tcPr>
            <w:tcW w:w="60" w:type="dxa"/>
            <w:tcBorders/>
            <w:shd w:fill="FFFFFF" w:val="clear"/>
            <w:vAlign w:val="center"/>
          </w:tcPr>
          <w:p>
            <w:pPr>
              <w:pStyle w:val="TableContents"/>
              <w:bidi w:val="0"/>
              <w:spacing w:before="0" w:after="283"/>
              <w:jc w:val="left"/>
              <w:rPr/>
            </w:pPr>
            <w:r>
              <w:rPr/>
              <w:t> </w:t>
            </w:r>
          </w:p>
        </w:tc>
        <w:tc>
          <w:tcPr>
            <w:tcW w:w="173" w:type="dxa"/>
            <w:tcBorders/>
            <w:shd w:fill="FFFFFF" w:val="clear"/>
            <w:vAlign w:val="center"/>
          </w:tcPr>
          <w:p>
            <w:pPr>
              <w:pStyle w:val="TableContents"/>
              <w:bidi w:val="0"/>
              <w:spacing w:before="0" w:after="283"/>
              <w:ind w:left="0" w:right="0" w:hanging="0"/>
              <w:jc w:val="left"/>
              <w:rPr/>
            </w:pPr>
            <w:r>
              <w:rPr/>
              <w:t> </w:t>
            </w:r>
          </w:p>
        </w:tc>
        <w:tc>
          <w:tcPr>
            <w:tcW w:w="1052" w:type="dxa"/>
            <w:tcBorders/>
            <w:shd w:fill="FFFFFF" w:val="clear"/>
            <w:vAlign w:val="center"/>
          </w:tcPr>
          <w:p>
            <w:pPr>
              <w:pStyle w:val="TableContents"/>
              <w:bidi w:val="0"/>
              <w:spacing w:before="0" w:after="0"/>
              <w:ind w:left="0" w:right="0" w:hanging="0"/>
              <w:jc w:val="left"/>
              <w:rPr/>
            </w:pPr>
            <w:r>
              <w:rPr/>
              <w:t> </w:t>
            </w:r>
          </w:p>
        </w:tc>
        <w:tc>
          <w:tcPr>
            <w:tcW w:w="80" w:type="dxa"/>
            <w:tcBorders/>
            <w:shd w:fill="FFFFFF" w:val="clear"/>
            <w:vAlign w:val="center"/>
          </w:tcPr>
          <w:p>
            <w:pPr>
              <w:pStyle w:val="TableContents"/>
              <w:bidi w:val="0"/>
              <w:spacing w:before="0" w:after="0"/>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1030" w:type="dxa"/>
            <w:tcBorders/>
            <w:shd w:fill="FFFFFF" w:val="clear"/>
            <w:vAlign w:val="center"/>
          </w:tcPr>
          <w:p>
            <w:pPr>
              <w:pStyle w:val="TableContents"/>
              <w:bidi w:val="0"/>
              <w:spacing w:before="0" w:after="283"/>
              <w:jc w:val="left"/>
              <w:rPr/>
            </w:pPr>
            <w:r>
              <w:rPr/>
              <w:t> </w:t>
            </w:r>
          </w:p>
        </w:tc>
        <w:tc>
          <w:tcPr>
            <w:tcW w:w="82" w:type="dxa"/>
            <w:tcBorders/>
            <w:shd w:fill="FFFFFF" w:val="clear"/>
            <w:vAlign w:val="center"/>
          </w:tcPr>
          <w:p>
            <w:pPr>
              <w:pStyle w:val="TableContents"/>
              <w:bidi w:val="0"/>
              <w:spacing w:before="0" w:after="283"/>
              <w:jc w:val="left"/>
              <w:rPr/>
            </w:pPr>
            <w:r>
              <w:rPr/>
              <w:t> </w:t>
            </w:r>
          </w:p>
        </w:tc>
      </w:tr>
      <w:tr>
        <w:trPr/>
        <w:tc>
          <w:tcPr>
            <w:tcW w:w="7498" w:type="dxa"/>
            <w:tcBorders/>
            <w:shd w:fill="CCEEFF" w:val="clear"/>
            <w:vAlign w:val="center"/>
          </w:tcPr>
          <w:p>
            <w:pPr>
              <w:pStyle w:val="TableContents"/>
              <w:bidi w:val="0"/>
              <w:spacing w:before="0" w:after="0"/>
              <w:ind w:left="180" w:right="180" w:hanging="0"/>
              <w:jc w:val="left"/>
              <w:rPr>
                <w:rFonts w:ascii="Times New Roman" w:hAnsi="Times New Roman"/>
                <w:caps w:val="false"/>
                <w:smallCaps w:val="false"/>
                <w:sz w:val="20"/>
              </w:rPr>
            </w:pPr>
            <w:r>
              <w:rPr>
                <w:rFonts w:ascii="Times New Roman" w:hAnsi="Times New Roman"/>
                <w:caps w:val="false"/>
                <w:smallCaps w:val="false"/>
                <w:sz w:val="20"/>
              </w:rPr>
              <w:t>Asset retirement obligations</w:t>
            </w:r>
          </w:p>
        </w:tc>
        <w:tc>
          <w:tcPr>
            <w:tcW w:w="60" w:type="dxa"/>
            <w:tcBorders/>
            <w:shd w:fill="CCEEFF" w:val="clear"/>
            <w:vAlign w:val="center"/>
          </w:tcPr>
          <w:p>
            <w:pPr>
              <w:pStyle w:val="TableContents"/>
              <w:bidi w:val="0"/>
              <w:spacing w:before="0" w:after="283"/>
              <w:jc w:val="left"/>
              <w:rPr/>
            </w:pPr>
            <w:r>
              <w:rPr/>
              <w:t> </w:t>
            </w:r>
          </w:p>
        </w:tc>
        <w:tc>
          <w:tcPr>
            <w:tcW w:w="173" w:type="dxa"/>
            <w:tcBorders/>
            <w:shd w:fill="CCEEFF" w:val="clear"/>
            <w:vAlign w:val="center"/>
          </w:tcPr>
          <w:p>
            <w:pPr>
              <w:pStyle w:val="TableContents"/>
              <w:bidi w:val="0"/>
              <w:spacing w:before="0" w:after="283"/>
              <w:ind w:left="0" w:right="0" w:hanging="0"/>
              <w:jc w:val="left"/>
              <w:rPr/>
            </w:pPr>
            <w:r>
              <w:rPr/>
              <w:t> </w:t>
            </w:r>
          </w:p>
        </w:tc>
        <w:tc>
          <w:tcPr>
            <w:tcW w:w="1052"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12,731</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ind w:left="0" w:right="0" w:hanging="0"/>
              <w:jc w:val="left"/>
              <w:rPr/>
            </w:pPr>
            <w:r>
              <w:rPr/>
              <w:t> </w:t>
            </w:r>
          </w:p>
        </w:tc>
        <w:tc>
          <w:tcPr>
            <w:tcW w:w="1030"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13,083</w:t>
            </w:r>
          </w:p>
        </w:tc>
        <w:tc>
          <w:tcPr>
            <w:tcW w:w="82" w:type="dxa"/>
            <w:tcBorders/>
            <w:shd w:fill="CCEEFF" w:val="clear"/>
            <w:vAlign w:val="center"/>
          </w:tcPr>
          <w:p>
            <w:pPr>
              <w:pStyle w:val="TableContents"/>
              <w:bidi w:val="0"/>
              <w:spacing w:before="0" w:after="283"/>
              <w:jc w:val="left"/>
              <w:rPr/>
            </w:pPr>
            <w:r>
              <w:rPr/>
              <w:t> </w:t>
            </w:r>
          </w:p>
        </w:tc>
      </w:tr>
      <w:tr>
        <w:trPr/>
        <w:tc>
          <w:tcPr>
            <w:tcW w:w="7498" w:type="dxa"/>
            <w:tcBorders/>
            <w:shd w:fill="FFFFFF" w:val="clear"/>
            <w:vAlign w:val="center"/>
          </w:tcPr>
          <w:p>
            <w:pPr>
              <w:pStyle w:val="TableContents"/>
              <w:bidi w:val="0"/>
              <w:spacing w:before="0" w:after="0"/>
              <w:ind w:left="180" w:right="180" w:hanging="0"/>
              <w:jc w:val="left"/>
              <w:rPr>
                <w:rFonts w:ascii="Times New Roman" w:hAnsi="Times New Roman"/>
                <w:caps w:val="false"/>
                <w:smallCaps w:val="false"/>
                <w:sz w:val="20"/>
              </w:rPr>
            </w:pPr>
            <w:r>
              <w:rPr>
                <w:rFonts w:ascii="Times New Roman" w:hAnsi="Times New Roman"/>
                <w:caps w:val="false"/>
                <w:smallCaps w:val="false"/>
                <w:sz w:val="20"/>
              </w:rPr>
              <w:t>Long-term lease obligation, net of current portion</w:t>
            </w:r>
          </w:p>
        </w:tc>
        <w:tc>
          <w:tcPr>
            <w:tcW w:w="60" w:type="dxa"/>
            <w:tcBorders/>
            <w:shd w:fill="FFFFFF" w:val="clear"/>
            <w:vAlign w:val="center"/>
          </w:tcPr>
          <w:p>
            <w:pPr>
              <w:pStyle w:val="TableContents"/>
              <w:bidi w:val="0"/>
              <w:spacing w:before="0" w:after="283"/>
              <w:jc w:val="left"/>
              <w:rPr/>
            </w:pPr>
            <w:r>
              <w:rPr/>
              <w:t> </w:t>
            </w:r>
          </w:p>
        </w:tc>
        <w:tc>
          <w:tcPr>
            <w:tcW w:w="173"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052"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259</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03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415</w:t>
            </w:r>
          </w:p>
        </w:tc>
        <w:tc>
          <w:tcPr>
            <w:tcW w:w="82" w:type="dxa"/>
            <w:tcBorders/>
            <w:shd w:fill="FFFFFF" w:val="clear"/>
            <w:vAlign w:val="center"/>
          </w:tcPr>
          <w:p>
            <w:pPr>
              <w:pStyle w:val="TableContents"/>
              <w:bidi w:val="0"/>
              <w:spacing w:before="0" w:after="283"/>
              <w:jc w:val="left"/>
              <w:rPr/>
            </w:pPr>
            <w:r>
              <w:rPr/>
              <w:t> </w:t>
            </w:r>
          </w:p>
        </w:tc>
      </w:tr>
      <w:tr>
        <w:trPr/>
        <w:tc>
          <w:tcPr>
            <w:tcW w:w="7498"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3" w:type="dxa"/>
            <w:tcBorders/>
            <w:shd w:fill="CCEEFF" w:val="clear"/>
            <w:vAlign w:val="center"/>
          </w:tcPr>
          <w:p>
            <w:pPr>
              <w:pStyle w:val="TableContents"/>
              <w:bidi w:val="0"/>
              <w:spacing w:before="0" w:after="283"/>
              <w:ind w:left="0" w:right="0" w:hanging="0"/>
              <w:jc w:val="left"/>
              <w:rPr/>
            </w:pPr>
            <w:r>
              <w:rPr/>
              <w:t> </w:t>
            </w:r>
          </w:p>
        </w:tc>
        <w:tc>
          <w:tcPr>
            <w:tcW w:w="1052" w:type="dxa"/>
            <w:tcBorders/>
            <w:shd w:fill="CCEEFF" w:val="clear"/>
            <w:vAlign w:val="center"/>
          </w:tcPr>
          <w:p>
            <w:pPr>
              <w:pStyle w:val="TableContents"/>
              <w:bidi w:val="0"/>
              <w:spacing w:before="0" w:after="0"/>
              <w:ind w:left="0" w:right="0" w:hanging="0"/>
              <w:jc w:val="left"/>
              <w:rPr/>
            </w:pPr>
            <w:r>
              <w:rPr/>
              <w:t> </w:t>
            </w:r>
          </w:p>
        </w:tc>
        <w:tc>
          <w:tcPr>
            <w:tcW w:w="80" w:type="dxa"/>
            <w:tcBorders/>
            <w:shd w:fill="CCEEFF" w:val="clear"/>
            <w:vAlign w:val="center"/>
          </w:tcPr>
          <w:p>
            <w:pPr>
              <w:pStyle w:val="TableContents"/>
              <w:bidi w:val="0"/>
              <w:spacing w:before="0" w:after="0"/>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030" w:type="dxa"/>
            <w:tcBorders/>
            <w:shd w:fill="CCEEFF" w:val="clear"/>
            <w:vAlign w:val="center"/>
          </w:tcPr>
          <w:p>
            <w:pPr>
              <w:pStyle w:val="TableContents"/>
              <w:bidi w:val="0"/>
              <w:spacing w:before="0" w:after="283"/>
              <w:jc w:val="left"/>
              <w:rPr/>
            </w:pPr>
            <w:r>
              <w:rPr/>
              <w:t> </w:t>
            </w:r>
          </w:p>
        </w:tc>
        <w:tc>
          <w:tcPr>
            <w:tcW w:w="82" w:type="dxa"/>
            <w:tcBorders/>
            <w:shd w:fill="CCEEFF" w:val="clear"/>
            <w:vAlign w:val="center"/>
          </w:tcPr>
          <w:p>
            <w:pPr>
              <w:pStyle w:val="TableContents"/>
              <w:bidi w:val="0"/>
              <w:spacing w:before="0" w:after="283"/>
              <w:jc w:val="left"/>
              <w:rPr/>
            </w:pPr>
            <w:r>
              <w:rPr/>
              <w:t> </w:t>
            </w:r>
          </w:p>
        </w:tc>
      </w:tr>
      <w:tr>
        <w:trPr/>
        <w:tc>
          <w:tcPr>
            <w:tcW w:w="7498" w:type="dxa"/>
            <w:tcBorders/>
            <w:shd w:fill="FFFFFF" w:val="clear"/>
            <w:vAlign w:val="center"/>
          </w:tcPr>
          <w:p>
            <w:pPr>
              <w:pStyle w:val="TableContents"/>
              <w:bidi w:val="0"/>
              <w:spacing w:before="0" w:after="0"/>
              <w:ind w:left="360" w:right="0" w:hanging="0"/>
              <w:jc w:val="left"/>
              <w:rPr>
                <w:rFonts w:ascii="Times New Roman" w:hAnsi="Times New Roman"/>
                <w:b/>
                <w:sz w:val="20"/>
              </w:rPr>
            </w:pPr>
            <w:r>
              <w:rPr>
                <w:rFonts w:ascii="Times New Roman" w:hAnsi="Times New Roman"/>
                <w:b/>
                <w:sz w:val="20"/>
              </w:rPr>
              <w:t>Total noncurrent liabilities</w:t>
            </w:r>
          </w:p>
        </w:tc>
        <w:tc>
          <w:tcPr>
            <w:tcW w:w="60" w:type="dxa"/>
            <w:tcBorders/>
            <w:shd w:fill="FFFFFF" w:val="clear"/>
            <w:vAlign w:val="center"/>
          </w:tcPr>
          <w:p>
            <w:pPr>
              <w:pStyle w:val="TableContents"/>
              <w:bidi w:val="0"/>
              <w:spacing w:before="0" w:after="283"/>
              <w:jc w:val="left"/>
              <w:rPr/>
            </w:pPr>
            <w:r>
              <w:rPr/>
              <w:t> </w:t>
            </w:r>
          </w:p>
        </w:tc>
        <w:tc>
          <w:tcPr>
            <w:tcW w:w="173" w:type="dxa"/>
            <w:tcBorders/>
            <w:shd w:fill="FFFFFF" w:val="clear"/>
            <w:vAlign w:val="center"/>
          </w:tcPr>
          <w:p>
            <w:pPr>
              <w:pStyle w:val="TableContents"/>
              <w:bidi w:val="0"/>
              <w:spacing w:before="0" w:after="283"/>
              <w:jc w:val="left"/>
              <w:rPr/>
            </w:pPr>
            <w:r>
              <w:rPr/>
              <w:t> </w:t>
            </w:r>
          </w:p>
        </w:tc>
        <w:tc>
          <w:tcPr>
            <w:tcW w:w="1052" w:type="dxa"/>
            <w:tcBorders/>
            <w:shd w:fill="FFFF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12,990</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1030" w:type="dxa"/>
            <w:tcBorders/>
            <w:shd w:fill="FFFF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13,498</w:t>
            </w:r>
          </w:p>
        </w:tc>
        <w:tc>
          <w:tcPr>
            <w:tcW w:w="82" w:type="dxa"/>
            <w:tcBorders/>
            <w:shd w:fill="FFFFFF" w:val="clear"/>
            <w:vAlign w:val="center"/>
          </w:tcPr>
          <w:p>
            <w:pPr>
              <w:pStyle w:val="TableContents"/>
              <w:bidi w:val="0"/>
              <w:spacing w:before="0" w:after="283"/>
              <w:jc w:val="left"/>
              <w:rPr/>
            </w:pPr>
            <w:r>
              <w:rPr/>
              <w:t> </w:t>
            </w:r>
          </w:p>
        </w:tc>
      </w:tr>
      <w:tr>
        <w:trPr/>
        <w:tc>
          <w:tcPr>
            <w:tcW w:w="7498"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3" w:type="dxa"/>
            <w:tcBorders/>
            <w:shd w:fill="CCEEFF" w:val="clear"/>
            <w:vAlign w:val="center"/>
          </w:tcPr>
          <w:p>
            <w:pPr>
              <w:pStyle w:val="TableContents"/>
              <w:bidi w:val="0"/>
              <w:spacing w:before="0" w:after="283"/>
              <w:jc w:val="left"/>
              <w:rPr/>
            </w:pPr>
            <w:r>
              <w:rPr/>
              <w:t> </w:t>
            </w:r>
          </w:p>
        </w:tc>
        <w:tc>
          <w:tcPr>
            <w:tcW w:w="1052"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030" w:type="dxa"/>
            <w:tcBorders/>
            <w:shd w:fill="CCEEFF" w:val="clear"/>
            <w:vAlign w:val="center"/>
          </w:tcPr>
          <w:p>
            <w:pPr>
              <w:pStyle w:val="TableContents"/>
              <w:bidi w:val="0"/>
              <w:spacing w:before="0" w:after="283"/>
              <w:jc w:val="left"/>
              <w:rPr/>
            </w:pPr>
            <w:r>
              <w:rPr/>
              <w:t> </w:t>
            </w:r>
          </w:p>
        </w:tc>
        <w:tc>
          <w:tcPr>
            <w:tcW w:w="82" w:type="dxa"/>
            <w:tcBorders/>
            <w:shd w:fill="CCEEFF" w:val="clear"/>
            <w:vAlign w:val="center"/>
          </w:tcPr>
          <w:p>
            <w:pPr>
              <w:pStyle w:val="TableContents"/>
              <w:bidi w:val="0"/>
              <w:spacing w:before="0" w:after="283"/>
              <w:jc w:val="left"/>
              <w:rPr/>
            </w:pPr>
            <w:r>
              <w:rPr/>
              <w:t> </w:t>
            </w:r>
          </w:p>
        </w:tc>
      </w:tr>
      <w:tr>
        <w:trPr/>
        <w:tc>
          <w:tcPr>
            <w:tcW w:w="7498" w:type="dxa"/>
            <w:tcBorders/>
            <w:shd w:fill="FFFFFF" w:val="clear"/>
            <w:vAlign w:val="center"/>
          </w:tcPr>
          <w:p>
            <w:pPr>
              <w:pStyle w:val="TableContents"/>
              <w:bidi w:val="0"/>
              <w:spacing w:before="0" w:after="0"/>
              <w:ind w:left="360" w:right="0" w:hanging="0"/>
              <w:jc w:val="left"/>
              <w:rPr>
                <w:rFonts w:ascii="Times New Roman" w:hAnsi="Times New Roman"/>
                <w:b/>
                <w:caps w:val="false"/>
                <w:smallCaps w:val="false"/>
                <w:sz w:val="20"/>
              </w:rPr>
            </w:pPr>
            <w:r>
              <w:rPr>
                <w:rFonts w:ascii="Times New Roman" w:hAnsi="Times New Roman"/>
                <w:b/>
                <w:caps w:val="false"/>
                <w:smallCaps w:val="false"/>
                <w:sz w:val="20"/>
              </w:rPr>
              <w:t>Total liabilities</w:t>
            </w:r>
          </w:p>
        </w:tc>
        <w:tc>
          <w:tcPr>
            <w:tcW w:w="60" w:type="dxa"/>
            <w:tcBorders/>
            <w:shd w:fill="FFFFFF" w:val="clear"/>
            <w:vAlign w:val="center"/>
          </w:tcPr>
          <w:p>
            <w:pPr>
              <w:pStyle w:val="TableContents"/>
              <w:bidi w:val="0"/>
              <w:spacing w:before="0" w:after="283"/>
              <w:jc w:val="left"/>
              <w:rPr/>
            </w:pPr>
            <w:r>
              <w:rPr/>
              <w:t> </w:t>
            </w:r>
          </w:p>
        </w:tc>
        <w:tc>
          <w:tcPr>
            <w:tcW w:w="173" w:type="dxa"/>
            <w:tcBorders/>
            <w:shd w:fill="FFFFFF" w:val="clear"/>
            <w:vAlign w:val="center"/>
          </w:tcPr>
          <w:p>
            <w:pPr>
              <w:pStyle w:val="TableContents"/>
              <w:bidi w:val="0"/>
              <w:spacing w:before="0" w:after="283"/>
              <w:ind w:left="0" w:right="0" w:hanging="0"/>
              <w:jc w:val="left"/>
              <w:rPr/>
            </w:pPr>
            <w:r>
              <w:rPr/>
              <w:t> </w:t>
            </w:r>
          </w:p>
        </w:tc>
        <w:tc>
          <w:tcPr>
            <w:tcW w:w="1052"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21,458</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ind w:left="0" w:right="0" w:hanging="0"/>
              <w:jc w:val="left"/>
              <w:rPr/>
            </w:pPr>
            <w:r>
              <w:rPr/>
              <w:t> </w:t>
            </w:r>
          </w:p>
        </w:tc>
        <w:tc>
          <w:tcPr>
            <w:tcW w:w="1030"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25,846</w:t>
            </w:r>
          </w:p>
        </w:tc>
        <w:tc>
          <w:tcPr>
            <w:tcW w:w="82" w:type="dxa"/>
            <w:tcBorders/>
            <w:shd w:fill="FFFFFF" w:val="clear"/>
            <w:vAlign w:val="center"/>
          </w:tcPr>
          <w:p>
            <w:pPr>
              <w:pStyle w:val="TableContents"/>
              <w:bidi w:val="0"/>
              <w:spacing w:before="0" w:after="283"/>
              <w:jc w:val="left"/>
              <w:rPr/>
            </w:pPr>
            <w:r>
              <w:rPr/>
              <w:t> </w:t>
            </w:r>
          </w:p>
        </w:tc>
      </w:tr>
      <w:tr>
        <w:trPr/>
        <w:tc>
          <w:tcPr>
            <w:tcW w:w="7498"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3" w:type="dxa"/>
            <w:tcBorders/>
            <w:shd w:fill="CCEEFF" w:val="clear"/>
            <w:vAlign w:val="center"/>
          </w:tcPr>
          <w:p>
            <w:pPr>
              <w:pStyle w:val="TableContents"/>
              <w:bidi w:val="0"/>
              <w:spacing w:before="0" w:after="283"/>
              <w:jc w:val="left"/>
              <w:rPr/>
            </w:pPr>
            <w:r>
              <w:rPr/>
              <w:t> </w:t>
            </w:r>
          </w:p>
        </w:tc>
        <w:tc>
          <w:tcPr>
            <w:tcW w:w="1052"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030" w:type="dxa"/>
            <w:tcBorders/>
            <w:shd w:fill="CCEEFF" w:val="clear"/>
            <w:vAlign w:val="center"/>
          </w:tcPr>
          <w:p>
            <w:pPr>
              <w:pStyle w:val="TableContents"/>
              <w:bidi w:val="0"/>
              <w:spacing w:before="0" w:after="283"/>
              <w:jc w:val="left"/>
              <w:rPr/>
            </w:pPr>
            <w:r>
              <w:rPr/>
              <w:t> </w:t>
            </w:r>
          </w:p>
        </w:tc>
        <w:tc>
          <w:tcPr>
            <w:tcW w:w="82" w:type="dxa"/>
            <w:tcBorders/>
            <w:shd w:fill="CCEEFF" w:val="clear"/>
            <w:vAlign w:val="center"/>
          </w:tcPr>
          <w:p>
            <w:pPr>
              <w:pStyle w:val="TableContents"/>
              <w:bidi w:val="0"/>
              <w:spacing w:before="0" w:after="283"/>
              <w:jc w:val="left"/>
              <w:rPr/>
            </w:pPr>
            <w:r>
              <w:rPr/>
              <w:t> </w:t>
            </w:r>
          </w:p>
        </w:tc>
      </w:tr>
      <w:tr>
        <w:trPr/>
        <w:tc>
          <w:tcPr>
            <w:tcW w:w="7498" w:type="dxa"/>
            <w:tcBorders/>
            <w:shd w:fill="FFFFFF" w:val="clear"/>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Commitments and contingencies (Note 8)</w:t>
            </w:r>
          </w:p>
        </w:tc>
        <w:tc>
          <w:tcPr>
            <w:tcW w:w="60" w:type="dxa"/>
            <w:tcBorders/>
            <w:shd w:fill="FFFFFF" w:val="clear"/>
            <w:vAlign w:val="center"/>
          </w:tcPr>
          <w:p>
            <w:pPr>
              <w:pStyle w:val="TableContents"/>
              <w:bidi w:val="0"/>
              <w:spacing w:before="0" w:after="283"/>
              <w:jc w:val="left"/>
              <w:rPr/>
            </w:pPr>
            <w:r>
              <w:rPr/>
              <w:t> </w:t>
            </w:r>
          </w:p>
        </w:tc>
        <w:tc>
          <w:tcPr>
            <w:tcW w:w="173" w:type="dxa"/>
            <w:tcBorders/>
            <w:shd w:fill="FFFFFF" w:val="clear"/>
            <w:vAlign w:val="center"/>
          </w:tcPr>
          <w:p>
            <w:pPr>
              <w:pStyle w:val="TableContents"/>
              <w:bidi w:val="0"/>
              <w:spacing w:before="0" w:after="283"/>
              <w:jc w:val="left"/>
              <w:rPr/>
            </w:pPr>
            <w:r>
              <w:rPr/>
              <w:t> </w:t>
            </w:r>
          </w:p>
        </w:tc>
        <w:tc>
          <w:tcPr>
            <w:tcW w:w="1052"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1030" w:type="dxa"/>
            <w:tcBorders/>
            <w:shd w:fill="FFFFFF" w:val="clear"/>
            <w:vAlign w:val="center"/>
          </w:tcPr>
          <w:p>
            <w:pPr>
              <w:pStyle w:val="TableContents"/>
              <w:bidi w:val="0"/>
              <w:spacing w:before="0" w:after="283"/>
              <w:jc w:val="left"/>
              <w:rPr/>
            </w:pPr>
            <w:r>
              <w:rPr/>
              <w:t>  </w:t>
            </w:r>
          </w:p>
        </w:tc>
        <w:tc>
          <w:tcPr>
            <w:tcW w:w="82" w:type="dxa"/>
            <w:tcBorders/>
            <w:shd w:fill="FFFFFF" w:val="clear"/>
            <w:vAlign w:val="center"/>
          </w:tcPr>
          <w:p>
            <w:pPr>
              <w:pStyle w:val="TableContents"/>
              <w:bidi w:val="0"/>
              <w:spacing w:before="0" w:after="283"/>
              <w:jc w:val="left"/>
              <w:rPr/>
            </w:pPr>
            <w:r>
              <w:rPr/>
              <w:t> </w:t>
            </w:r>
          </w:p>
        </w:tc>
      </w:tr>
      <w:tr>
        <w:trPr/>
        <w:tc>
          <w:tcPr>
            <w:tcW w:w="7498"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3" w:type="dxa"/>
            <w:tcBorders/>
            <w:shd w:fill="CCEEFF" w:val="clear"/>
            <w:vAlign w:val="center"/>
          </w:tcPr>
          <w:p>
            <w:pPr>
              <w:pStyle w:val="TableContents"/>
              <w:bidi w:val="0"/>
              <w:spacing w:before="0" w:after="283"/>
              <w:jc w:val="left"/>
              <w:rPr/>
            </w:pPr>
            <w:r>
              <w:rPr/>
              <w:t> </w:t>
            </w:r>
          </w:p>
        </w:tc>
        <w:tc>
          <w:tcPr>
            <w:tcW w:w="1052"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030" w:type="dxa"/>
            <w:tcBorders/>
            <w:shd w:fill="CCEEFF" w:val="clear"/>
            <w:vAlign w:val="center"/>
          </w:tcPr>
          <w:p>
            <w:pPr>
              <w:pStyle w:val="TableContents"/>
              <w:bidi w:val="0"/>
              <w:spacing w:before="0" w:after="283"/>
              <w:jc w:val="left"/>
              <w:rPr/>
            </w:pPr>
            <w:r>
              <w:rPr/>
              <w:t> </w:t>
            </w:r>
          </w:p>
        </w:tc>
        <w:tc>
          <w:tcPr>
            <w:tcW w:w="82" w:type="dxa"/>
            <w:tcBorders/>
            <w:shd w:fill="CCEEFF" w:val="clear"/>
            <w:vAlign w:val="center"/>
          </w:tcPr>
          <w:p>
            <w:pPr>
              <w:pStyle w:val="TableContents"/>
              <w:bidi w:val="0"/>
              <w:spacing w:before="0" w:after="283"/>
              <w:jc w:val="left"/>
              <w:rPr/>
            </w:pPr>
            <w:r>
              <w:rPr/>
              <w:t> </w:t>
            </w:r>
          </w:p>
        </w:tc>
      </w:tr>
      <w:tr>
        <w:trPr/>
        <w:tc>
          <w:tcPr>
            <w:tcW w:w="7498" w:type="dxa"/>
            <w:tcBorders/>
            <w:shd w:fill="FFFFFF" w:val="clear"/>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Shareholders’ equity:</w:t>
            </w:r>
          </w:p>
        </w:tc>
        <w:tc>
          <w:tcPr>
            <w:tcW w:w="60" w:type="dxa"/>
            <w:tcBorders/>
            <w:shd w:fill="FFFFFF" w:val="clear"/>
            <w:vAlign w:val="center"/>
          </w:tcPr>
          <w:p>
            <w:pPr>
              <w:pStyle w:val="TableContents"/>
              <w:bidi w:val="0"/>
              <w:spacing w:before="0" w:after="283"/>
              <w:jc w:val="left"/>
              <w:rPr/>
            </w:pPr>
            <w:r>
              <w:rPr/>
              <w:t> </w:t>
            </w:r>
          </w:p>
        </w:tc>
        <w:tc>
          <w:tcPr>
            <w:tcW w:w="173" w:type="dxa"/>
            <w:tcBorders/>
            <w:shd w:fill="FFFFFF" w:val="clear"/>
            <w:vAlign w:val="center"/>
          </w:tcPr>
          <w:p>
            <w:pPr>
              <w:pStyle w:val="TableContents"/>
              <w:bidi w:val="0"/>
              <w:spacing w:before="0" w:after="283"/>
              <w:jc w:val="left"/>
              <w:rPr/>
            </w:pPr>
            <w:r>
              <w:rPr/>
              <w:t> </w:t>
            </w:r>
          </w:p>
        </w:tc>
        <w:tc>
          <w:tcPr>
            <w:tcW w:w="1052"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1030" w:type="dxa"/>
            <w:tcBorders/>
            <w:shd w:fill="FFFFFF" w:val="clear"/>
            <w:vAlign w:val="center"/>
          </w:tcPr>
          <w:p>
            <w:pPr>
              <w:pStyle w:val="TableContents"/>
              <w:bidi w:val="0"/>
              <w:spacing w:before="0" w:after="283"/>
              <w:jc w:val="left"/>
              <w:rPr/>
            </w:pPr>
            <w:r>
              <w:rPr/>
              <w:t> </w:t>
            </w:r>
          </w:p>
        </w:tc>
        <w:tc>
          <w:tcPr>
            <w:tcW w:w="82" w:type="dxa"/>
            <w:tcBorders/>
            <w:shd w:fill="FFFFFF" w:val="clear"/>
            <w:vAlign w:val="center"/>
          </w:tcPr>
          <w:p>
            <w:pPr>
              <w:pStyle w:val="TableContents"/>
              <w:bidi w:val="0"/>
              <w:spacing w:before="0" w:after="283"/>
              <w:jc w:val="left"/>
              <w:rPr/>
            </w:pPr>
            <w:r>
              <w:rPr/>
              <w:t> </w:t>
            </w:r>
          </w:p>
        </w:tc>
      </w:tr>
      <w:tr>
        <w:trPr/>
        <w:tc>
          <w:tcPr>
            <w:tcW w:w="7498" w:type="dxa"/>
            <w:tcBorders/>
            <w:shd w:fill="CCEE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Common stock, $0.01 par value; 245,000,000 shares authorized; 34,143,549 and 27,903,197 shares issued and outstanding at September 30, 2025 and December 31, 2024, respectively</w:t>
            </w:r>
          </w:p>
        </w:tc>
        <w:tc>
          <w:tcPr>
            <w:tcW w:w="60" w:type="dxa"/>
            <w:tcBorders/>
            <w:shd w:fill="CCEEFF" w:val="clear"/>
            <w:vAlign w:val="center"/>
          </w:tcPr>
          <w:p>
            <w:pPr>
              <w:pStyle w:val="TableContents"/>
              <w:bidi w:val="0"/>
              <w:spacing w:before="0" w:after="283"/>
              <w:jc w:val="left"/>
              <w:rPr/>
            </w:pPr>
            <w:r>
              <w:rPr/>
              <w:t> </w:t>
            </w:r>
          </w:p>
        </w:tc>
        <w:tc>
          <w:tcPr>
            <w:tcW w:w="173" w:type="dxa"/>
            <w:tcBorders/>
            <w:shd w:fill="CCEEFF" w:val="clear"/>
            <w:vAlign w:val="center"/>
          </w:tcPr>
          <w:p>
            <w:pPr>
              <w:pStyle w:val="TableContents"/>
              <w:bidi w:val="0"/>
              <w:spacing w:before="0" w:after="283"/>
              <w:ind w:left="0" w:right="0" w:hanging="0"/>
              <w:jc w:val="left"/>
              <w:rPr/>
            </w:pPr>
            <w:r>
              <w:rPr/>
              <w:t> </w:t>
            </w:r>
          </w:p>
        </w:tc>
        <w:tc>
          <w:tcPr>
            <w:tcW w:w="1052"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343</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ind w:left="0" w:right="0" w:hanging="0"/>
              <w:jc w:val="left"/>
              <w:rPr/>
            </w:pPr>
            <w:r>
              <w:rPr/>
              <w:t> </w:t>
            </w:r>
          </w:p>
        </w:tc>
        <w:tc>
          <w:tcPr>
            <w:tcW w:w="1030"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279</w:t>
            </w:r>
          </w:p>
        </w:tc>
        <w:tc>
          <w:tcPr>
            <w:tcW w:w="82" w:type="dxa"/>
            <w:tcBorders/>
            <w:shd w:fill="CCEEFF" w:val="clear"/>
            <w:vAlign w:val="center"/>
          </w:tcPr>
          <w:p>
            <w:pPr>
              <w:pStyle w:val="TableContents"/>
              <w:bidi w:val="0"/>
              <w:spacing w:before="0" w:after="283"/>
              <w:jc w:val="left"/>
              <w:rPr/>
            </w:pPr>
            <w:r>
              <w:rPr/>
              <w:t> </w:t>
            </w:r>
          </w:p>
        </w:tc>
      </w:tr>
      <w:tr>
        <w:trPr/>
        <w:tc>
          <w:tcPr>
            <w:tcW w:w="7498" w:type="dxa"/>
            <w:tcBorders/>
            <w:shd w:fill="FFFF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Additional paid-in capital</w:t>
            </w:r>
          </w:p>
        </w:tc>
        <w:tc>
          <w:tcPr>
            <w:tcW w:w="60" w:type="dxa"/>
            <w:tcBorders/>
            <w:shd w:fill="FFFFFF" w:val="clear"/>
            <w:vAlign w:val="center"/>
          </w:tcPr>
          <w:p>
            <w:pPr>
              <w:pStyle w:val="TableContents"/>
              <w:bidi w:val="0"/>
              <w:spacing w:before="0" w:after="283"/>
              <w:jc w:val="left"/>
              <w:rPr/>
            </w:pPr>
            <w:r>
              <w:rPr/>
              <w:t> </w:t>
            </w:r>
          </w:p>
        </w:tc>
        <w:tc>
          <w:tcPr>
            <w:tcW w:w="173" w:type="dxa"/>
            <w:tcBorders/>
            <w:shd w:fill="FFFFFF" w:val="clear"/>
            <w:vAlign w:val="center"/>
          </w:tcPr>
          <w:p>
            <w:pPr>
              <w:pStyle w:val="TableContents"/>
              <w:bidi w:val="0"/>
              <w:spacing w:before="0" w:after="283"/>
              <w:ind w:left="0" w:right="0" w:hanging="0"/>
              <w:jc w:val="left"/>
              <w:rPr/>
            </w:pPr>
            <w:r>
              <w:rPr/>
              <w:t> </w:t>
            </w:r>
          </w:p>
        </w:tc>
        <w:tc>
          <w:tcPr>
            <w:tcW w:w="1052"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235,124</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ind w:left="0" w:right="0" w:hanging="0"/>
              <w:jc w:val="left"/>
              <w:rPr/>
            </w:pPr>
            <w:r>
              <w:rPr/>
              <w:t> </w:t>
            </w:r>
          </w:p>
        </w:tc>
        <w:tc>
          <w:tcPr>
            <w:tcW w:w="1030"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221,460</w:t>
            </w:r>
          </w:p>
        </w:tc>
        <w:tc>
          <w:tcPr>
            <w:tcW w:w="82" w:type="dxa"/>
            <w:tcBorders/>
            <w:shd w:fill="FFFFFF" w:val="clear"/>
            <w:vAlign w:val="center"/>
          </w:tcPr>
          <w:p>
            <w:pPr>
              <w:pStyle w:val="TableContents"/>
              <w:bidi w:val="0"/>
              <w:spacing w:before="0" w:after="283"/>
              <w:jc w:val="left"/>
              <w:rPr/>
            </w:pPr>
            <w:r>
              <w:rPr/>
              <w:t> </w:t>
            </w:r>
          </w:p>
        </w:tc>
      </w:tr>
      <w:tr>
        <w:trPr/>
        <w:tc>
          <w:tcPr>
            <w:tcW w:w="7498" w:type="dxa"/>
            <w:tcBorders/>
            <w:shd w:fill="CCEE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Accumulated deficit</w:t>
            </w:r>
          </w:p>
        </w:tc>
        <w:tc>
          <w:tcPr>
            <w:tcW w:w="60" w:type="dxa"/>
            <w:tcBorders/>
            <w:shd w:fill="CCEEFF" w:val="clear"/>
            <w:vAlign w:val="center"/>
          </w:tcPr>
          <w:p>
            <w:pPr>
              <w:pStyle w:val="TableContents"/>
              <w:bidi w:val="0"/>
              <w:spacing w:before="0" w:after="283"/>
              <w:jc w:val="left"/>
              <w:rPr/>
            </w:pPr>
            <w:r>
              <w:rPr/>
              <w:t> </w:t>
            </w:r>
          </w:p>
        </w:tc>
        <w:tc>
          <w:tcPr>
            <w:tcW w:w="173"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052"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(210,428</w:t>
            </w:r>
          </w:p>
        </w:tc>
        <w:tc>
          <w:tcPr>
            <w:tcW w:w="80"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bidi w:val="0"/>
              <w:spacing w:before="0" w:after="283"/>
              <w:jc w:val="left"/>
              <w:rPr/>
            </w:pPr>
            <w:r>
              <w:rPr/>
              <w:t> </w:t>
            </w:r>
          </w:p>
        </w:tc>
        <w:tc>
          <w:tcPr>
            <w:tcW w:w="17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03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(197,918</w:t>
            </w:r>
          </w:p>
        </w:tc>
        <w:tc>
          <w:tcPr>
            <w:tcW w:w="82"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r>
        <w:trPr/>
        <w:tc>
          <w:tcPr>
            <w:tcW w:w="7498"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3" w:type="dxa"/>
            <w:tcBorders/>
            <w:shd w:fill="FFFFFF" w:val="clear"/>
            <w:vAlign w:val="center"/>
          </w:tcPr>
          <w:p>
            <w:pPr>
              <w:pStyle w:val="TableContents"/>
              <w:bidi w:val="0"/>
              <w:spacing w:before="0" w:after="283"/>
              <w:jc w:val="left"/>
              <w:rPr/>
            </w:pPr>
            <w:r>
              <w:rPr/>
              <w:t> </w:t>
            </w:r>
          </w:p>
        </w:tc>
        <w:tc>
          <w:tcPr>
            <w:tcW w:w="1052"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1030" w:type="dxa"/>
            <w:tcBorders/>
            <w:shd w:fill="FFFFFF" w:val="clear"/>
            <w:vAlign w:val="center"/>
          </w:tcPr>
          <w:p>
            <w:pPr>
              <w:pStyle w:val="TableContents"/>
              <w:bidi w:val="0"/>
              <w:spacing w:before="0" w:after="283"/>
              <w:jc w:val="left"/>
              <w:rPr/>
            </w:pPr>
            <w:r>
              <w:rPr/>
              <w:t> </w:t>
            </w:r>
          </w:p>
        </w:tc>
        <w:tc>
          <w:tcPr>
            <w:tcW w:w="82" w:type="dxa"/>
            <w:tcBorders/>
            <w:shd w:fill="FFFFFF" w:val="clear"/>
            <w:vAlign w:val="center"/>
          </w:tcPr>
          <w:p>
            <w:pPr>
              <w:pStyle w:val="TableContents"/>
              <w:bidi w:val="0"/>
              <w:spacing w:before="0" w:after="283"/>
              <w:jc w:val="left"/>
              <w:rPr/>
            </w:pPr>
            <w:r>
              <w:rPr/>
              <w:t> </w:t>
            </w:r>
          </w:p>
        </w:tc>
      </w:tr>
      <w:tr>
        <w:trPr/>
        <w:tc>
          <w:tcPr>
            <w:tcW w:w="7498" w:type="dxa"/>
            <w:tcBorders/>
            <w:shd w:fill="CCEEFF" w:val="clear"/>
            <w:vAlign w:val="center"/>
          </w:tcPr>
          <w:p>
            <w:pPr>
              <w:pStyle w:val="TableContents"/>
              <w:bidi w:val="0"/>
              <w:spacing w:before="0" w:after="0"/>
              <w:ind w:left="360" w:right="0" w:hanging="0"/>
              <w:jc w:val="left"/>
              <w:rPr>
                <w:rFonts w:ascii="Times New Roman" w:hAnsi="Times New Roman"/>
                <w:b/>
                <w:caps w:val="false"/>
                <w:smallCaps w:val="false"/>
                <w:sz w:val="20"/>
              </w:rPr>
            </w:pPr>
            <w:r>
              <w:rPr>
                <w:rFonts w:ascii="Times New Roman" w:hAnsi="Times New Roman"/>
                <w:b/>
                <w:caps w:val="false"/>
                <w:smallCaps w:val="false"/>
                <w:sz w:val="20"/>
              </w:rPr>
              <w:t>Total shareholders’ equity</w:t>
            </w:r>
          </w:p>
        </w:tc>
        <w:tc>
          <w:tcPr>
            <w:tcW w:w="60" w:type="dxa"/>
            <w:tcBorders/>
            <w:shd w:fill="CCEEFF" w:val="clear"/>
            <w:vAlign w:val="center"/>
          </w:tcPr>
          <w:p>
            <w:pPr>
              <w:pStyle w:val="TableContents"/>
              <w:bidi w:val="0"/>
              <w:spacing w:before="0" w:after="283"/>
              <w:jc w:val="left"/>
              <w:rPr/>
            </w:pPr>
            <w:r>
              <w:rPr/>
              <w:t> </w:t>
            </w:r>
          </w:p>
        </w:tc>
        <w:tc>
          <w:tcPr>
            <w:tcW w:w="173" w:type="dxa"/>
            <w:tcBorders/>
            <w:shd w:fill="CCEEFF" w:val="clear"/>
            <w:vAlign w:val="center"/>
          </w:tcPr>
          <w:p>
            <w:pPr>
              <w:pStyle w:val="TableContents"/>
              <w:bidi w:val="0"/>
              <w:spacing w:before="0" w:after="283"/>
              <w:ind w:left="0" w:right="0" w:hanging="0"/>
              <w:jc w:val="left"/>
              <w:rPr/>
            </w:pPr>
            <w:r>
              <w:rPr/>
              <w:t> </w:t>
            </w:r>
          </w:p>
        </w:tc>
        <w:tc>
          <w:tcPr>
            <w:tcW w:w="1052"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25,039</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ind w:left="0" w:right="0" w:hanging="0"/>
              <w:jc w:val="left"/>
              <w:rPr/>
            </w:pPr>
            <w:r>
              <w:rPr/>
              <w:t> </w:t>
            </w:r>
          </w:p>
        </w:tc>
        <w:tc>
          <w:tcPr>
            <w:tcW w:w="1030"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23,821</w:t>
            </w:r>
          </w:p>
        </w:tc>
        <w:tc>
          <w:tcPr>
            <w:tcW w:w="82" w:type="dxa"/>
            <w:tcBorders/>
            <w:shd w:fill="CCEEFF" w:val="clear"/>
            <w:vAlign w:val="center"/>
          </w:tcPr>
          <w:p>
            <w:pPr>
              <w:pStyle w:val="TableContents"/>
              <w:bidi w:val="0"/>
              <w:spacing w:before="0" w:after="283"/>
              <w:jc w:val="left"/>
              <w:rPr/>
            </w:pPr>
            <w:r>
              <w:rPr/>
              <w:t> </w:t>
            </w:r>
          </w:p>
        </w:tc>
      </w:tr>
      <w:tr>
        <w:trPr/>
        <w:tc>
          <w:tcPr>
            <w:tcW w:w="7498"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3" w:type="dxa"/>
            <w:tcBorders/>
            <w:shd w:fill="FFFFFF" w:val="clear"/>
            <w:vAlign w:val="center"/>
          </w:tcPr>
          <w:p>
            <w:pPr>
              <w:pStyle w:val="TableContents"/>
              <w:bidi w:val="0"/>
              <w:spacing w:before="0" w:after="283"/>
              <w:jc w:val="left"/>
              <w:rPr/>
            </w:pPr>
            <w:r>
              <w:rPr/>
              <w:t> </w:t>
            </w:r>
          </w:p>
        </w:tc>
        <w:tc>
          <w:tcPr>
            <w:tcW w:w="1052"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1030" w:type="dxa"/>
            <w:tcBorders/>
            <w:shd w:fill="FFFFFF" w:val="clear"/>
            <w:vAlign w:val="center"/>
          </w:tcPr>
          <w:p>
            <w:pPr>
              <w:pStyle w:val="TableContents"/>
              <w:bidi w:val="0"/>
              <w:spacing w:before="0" w:after="283"/>
              <w:jc w:val="left"/>
              <w:rPr/>
            </w:pPr>
            <w:r>
              <w:rPr/>
              <w:t> </w:t>
            </w:r>
          </w:p>
        </w:tc>
        <w:tc>
          <w:tcPr>
            <w:tcW w:w="82" w:type="dxa"/>
            <w:tcBorders/>
            <w:shd w:fill="FFFFFF" w:val="clear"/>
            <w:vAlign w:val="center"/>
          </w:tcPr>
          <w:p>
            <w:pPr>
              <w:pStyle w:val="TableContents"/>
              <w:bidi w:val="0"/>
              <w:spacing w:before="0" w:after="283"/>
              <w:jc w:val="left"/>
              <w:rPr/>
            </w:pPr>
            <w:r>
              <w:rPr/>
              <w:t> </w:t>
            </w:r>
          </w:p>
        </w:tc>
      </w:tr>
      <w:tr>
        <w:trPr/>
        <w:tc>
          <w:tcPr>
            <w:tcW w:w="7498" w:type="dxa"/>
            <w:tcBorders/>
            <w:shd w:fill="CCEEFF" w:val="clear"/>
            <w:vAlign w:val="center"/>
          </w:tcPr>
          <w:p>
            <w:pPr>
              <w:pStyle w:val="TableContents"/>
              <w:bidi w:val="0"/>
              <w:spacing w:before="0" w:after="0"/>
              <w:ind w:left="360" w:right="0" w:hanging="0"/>
              <w:jc w:val="left"/>
              <w:rPr>
                <w:rFonts w:ascii="Times New Roman" w:hAnsi="Times New Roman"/>
                <w:b/>
                <w:caps w:val="false"/>
                <w:smallCaps w:val="false"/>
                <w:sz w:val="20"/>
              </w:rPr>
            </w:pPr>
            <w:r>
              <w:rPr>
                <w:rFonts w:ascii="Times New Roman" w:hAnsi="Times New Roman"/>
                <w:b/>
                <w:caps w:val="false"/>
                <w:smallCaps w:val="false"/>
                <w:sz w:val="20"/>
              </w:rPr>
              <w:t>Total liabilities and shareholders’ equity</w:t>
            </w:r>
          </w:p>
        </w:tc>
        <w:tc>
          <w:tcPr>
            <w:tcW w:w="60" w:type="dxa"/>
            <w:tcBorders/>
            <w:shd w:fill="CCEEFF" w:val="clear"/>
            <w:vAlign w:val="center"/>
          </w:tcPr>
          <w:p>
            <w:pPr>
              <w:pStyle w:val="TableContents"/>
              <w:bidi w:val="0"/>
              <w:spacing w:before="0" w:after="283"/>
              <w:ind w:left="0" w:right="0" w:hanging="0"/>
              <w:jc w:val="left"/>
              <w:rPr/>
            </w:pPr>
            <w:r>
              <w:rPr/>
              <w:t> </w:t>
            </w:r>
          </w:p>
        </w:tc>
        <w:tc>
          <w:tcPr>
            <w:tcW w:w="173"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1052"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46,497</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70"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1030"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49,667</w:t>
            </w:r>
          </w:p>
        </w:tc>
        <w:tc>
          <w:tcPr>
            <w:tcW w:w="82"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The accompanying notes are an integral part of these unaudited Condensed Consolidated Financial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4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283"/>
        <w:jc w:val="left"/>
        <w:rPr/>
      </w:pPr>
      <w:r>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 w:hAnsi="Times New Roman"/>
          <w:b/>
          <w:caps w:val="false"/>
          <w:smallCaps w:val="false"/>
          <w:sz w:val="20"/>
        </w:rPr>
      </w:pPr>
      <w:bookmarkStart w:id="7" w:name="ops"/>
      <w:bookmarkEnd w:id="7"/>
      <w:r>
        <w:rPr>
          <w:rFonts w:ascii="Times New Roman" w:hAnsi="Times New Roman"/>
          <w:b/>
          <w:caps w:val="false"/>
          <w:smallCaps w:val="false"/>
          <w:sz w:val="20"/>
        </w:rPr>
        <w:t>U.S. ENERGY CORP. AND SUBSIDIARIES</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UNAUDITED CONDENSED CONSOLIDATED STATEMENTS OF OPERATIONS</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FOR THE</w:t>
      </w:r>
      <w:r>
        <w:rPr>
          <w:rFonts w:ascii="Times New Roman" w:hAnsi="Times New Roman"/>
          <w:b/>
          <w:caps/>
          <w:sz w:val="20"/>
        </w:rPr>
        <w:t xml:space="preserve"> three and nine months ended September 30, 2025 and 2024</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(In thousands, except share and per share amounts)</w:t>
      </w:r>
    </w:p>
    <w:p>
      <w:pPr>
        <w:pStyle w:val="TextBody"/>
        <w:bidi w:val="0"/>
        <w:spacing w:before="0" w:after="0"/>
        <w:ind w:left="0" w:right="0" w:hanging="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4184"/>
        <w:gridCol w:w="60"/>
        <w:gridCol w:w="158"/>
        <w:gridCol w:w="1208"/>
        <w:gridCol w:w="100"/>
        <w:gridCol w:w="75"/>
        <w:gridCol w:w="158"/>
        <w:gridCol w:w="1208"/>
        <w:gridCol w:w="80"/>
        <w:gridCol w:w="60"/>
        <w:gridCol w:w="154"/>
        <w:gridCol w:w="1174"/>
        <w:gridCol w:w="98"/>
        <w:gridCol w:w="73"/>
        <w:gridCol w:w="154"/>
        <w:gridCol w:w="1174"/>
        <w:gridCol w:w="87"/>
      </w:tblGrid>
      <w:tr>
        <w:trPr/>
        <w:tc>
          <w:tcPr>
            <w:tcW w:w="4184"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907"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Three Months Ended September 30,</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827"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Nine Months Ended September 30,</w:t>
            </w:r>
          </w:p>
        </w:tc>
        <w:tc>
          <w:tcPr>
            <w:tcW w:w="87" w:type="dxa"/>
            <w:tcBorders/>
            <w:shd w:fill="FFFFFF" w:val="clear"/>
            <w:vAlign w:val="center"/>
          </w:tcPr>
          <w:p>
            <w:pPr>
              <w:pStyle w:val="TableContents"/>
              <w:bidi w:val="0"/>
              <w:spacing w:before="0" w:after="283"/>
              <w:jc w:val="left"/>
              <w:rPr/>
            </w:pPr>
            <w:r>
              <w:rPr/>
              <w:t> </w:t>
            </w:r>
          </w:p>
        </w:tc>
      </w:tr>
      <w:tr>
        <w:trPr/>
        <w:tc>
          <w:tcPr>
            <w:tcW w:w="4184"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366"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2025</w:t>
            </w:r>
          </w:p>
        </w:tc>
        <w:tc>
          <w:tcPr>
            <w:tcW w:w="100" w:type="dxa"/>
            <w:tcBorders/>
            <w:shd w:fill="FFFFFF" w:val="clear"/>
            <w:vAlign w:val="center"/>
          </w:tcPr>
          <w:p>
            <w:pPr>
              <w:pStyle w:val="TableContents"/>
              <w:bidi w:val="0"/>
              <w:spacing w:before="0" w:after="283"/>
              <w:jc w:val="left"/>
              <w:rPr/>
            </w:pPr>
            <w:r>
              <w:rPr/>
              <w:t> </w:t>
            </w:r>
          </w:p>
        </w:tc>
        <w:tc>
          <w:tcPr>
            <w:tcW w:w="75" w:type="dxa"/>
            <w:tcBorders/>
            <w:shd w:fill="FFFFFF" w:val="clear"/>
            <w:vAlign w:val="center"/>
          </w:tcPr>
          <w:p>
            <w:pPr>
              <w:pStyle w:val="TableContents"/>
              <w:bidi w:val="0"/>
              <w:spacing w:before="0" w:after="283"/>
              <w:ind w:left="0" w:right="0" w:hanging="0"/>
              <w:jc w:val="left"/>
              <w:rPr/>
            </w:pPr>
            <w:r>
              <w:rPr/>
              <w:t> </w:t>
            </w:r>
          </w:p>
        </w:tc>
        <w:tc>
          <w:tcPr>
            <w:tcW w:w="1366"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2024</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328"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2025</w:t>
            </w:r>
          </w:p>
        </w:tc>
        <w:tc>
          <w:tcPr>
            <w:tcW w:w="98" w:type="dxa"/>
            <w:tcBorders/>
            <w:shd w:fill="FFFFFF" w:val="clear"/>
            <w:vAlign w:val="center"/>
          </w:tcPr>
          <w:p>
            <w:pPr>
              <w:pStyle w:val="TableContents"/>
              <w:bidi w:val="0"/>
              <w:spacing w:before="0" w:after="283"/>
              <w:jc w:val="left"/>
              <w:rPr/>
            </w:pPr>
            <w:r>
              <w:rPr/>
              <w:t> </w:t>
            </w:r>
          </w:p>
        </w:tc>
        <w:tc>
          <w:tcPr>
            <w:tcW w:w="73" w:type="dxa"/>
            <w:tcBorders/>
            <w:shd w:fill="FFFFFF" w:val="clear"/>
            <w:vAlign w:val="center"/>
          </w:tcPr>
          <w:p>
            <w:pPr>
              <w:pStyle w:val="TableContents"/>
              <w:bidi w:val="0"/>
              <w:spacing w:before="0" w:after="283"/>
              <w:ind w:left="0" w:right="0" w:hanging="0"/>
              <w:jc w:val="left"/>
              <w:rPr/>
            </w:pPr>
            <w:r>
              <w:rPr/>
              <w:t> </w:t>
            </w:r>
          </w:p>
        </w:tc>
        <w:tc>
          <w:tcPr>
            <w:tcW w:w="1328"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2024</w:t>
            </w:r>
          </w:p>
        </w:tc>
        <w:tc>
          <w:tcPr>
            <w:tcW w:w="87" w:type="dxa"/>
            <w:tcBorders/>
            <w:shd w:fill="FFFFFF" w:val="clear"/>
            <w:vAlign w:val="center"/>
          </w:tcPr>
          <w:p>
            <w:pPr>
              <w:pStyle w:val="TableContents"/>
              <w:bidi w:val="0"/>
              <w:spacing w:before="0" w:after="283"/>
              <w:jc w:val="left"/>
              <w:rPr/>
            </w:pPr>
            <w:r>
              <w:rPr/>
              <w:t> </w:t>
            </w:r>
          </w:p>
        </w:tc>
      </w:tr>
      <w:tr>
        <w:trPr/>
        <w:tc>
          <w:tcPr>
            <w:tcW w:w="4184"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8" w:type="dxa"/>
            <w:tcBorders/>
            <w:shd w:fill="FFFFFF" w:val="clear"/>
            <w:vAlign w:val="center"/>
          </w:tcPr>
          <w:p>
            <w:pPr>
              <w:pStyle w:val="TableContents"/>
              <w:bidi w:val="0"/>
              <w:spacing w:before="0" w:after="283"/>
              <w:jc w:val="left"/>
              <w:rPr/>
            </w:pPr>
            <w:r>
              <w:rPr/>
              <w:t> </w:t>
            </w:r>
          </w:p>
        </w:tc>
        <w:tc>
          <w:tcPr>
            <w:tcW w:w="1208" w:type="dxa"/>
            <w:tcBorders/>
            <w:shd w:fill="FFFFFF" w:val="clear"/>
            <w:vAlign w:val="center"/>
          </w:tcPr>
          <w:p>
            <w:pPr>
              <w:pStyle w:val="TableContents"/>
              <w:bidi w:val="0"/>
              <w:spacing w:before="0" w:after="283"/>
              <w:jc w:val="left"/>
              <w:rPr/>
            </w:pPr>
            <w:r>
              <w:rPr/>
              <w:t> </w:t>
            </w:r>
          </w:p>
        </w:tc>
        <w:tc>
          <w:tcPr>
            <w:tcW w:w="100" w:type="dxa"/>
            <w:tcBorders/>
            <w:shd w:fill="FFFFFF" w:val="clear"/>
            <w:vAlign w:val="center"/>
          </w:tcPr>
          <w:p>
            <w:pPr>
              <w:pStyle w:val="TableContents"/>
              <w:bidi w:val="0"/>
              <w:spacing w:before="0" w:after="283"/>
              <w:jc w:val="left"/>
              <w:rPr/>
            </w:pPr>
            <w:r>
              <w:rPr/>
              <w:t> </w:t>
            </w:r>
          </w:p>
        </w:tc>
        <w:tc>
          <w:tcPr>
            <w:tcW w:w="75" w:type="dxa"/>
            <w:tcBorders/>
            <w:shd w:fill="FFFFFF" w:val="clear"/>
            <w:vAlign w:val="center"/>
          </w:tcPr>
          <w:p>
            <w:pPr>
              <w:pStyle w:val="TableContents"/>
              <w:bidi w:val="0"/>
              <w:spacing w:before="0" w:after="283"/>
              <w:jc w:val="left"/>
              <w:rPr/>
            </w:pPr>
            <w:r>
              <w:rPr/>
              <w:t> </w:t>
            </w:r>
          </w:p>
        </w:tc>
        <w:tc>
          <w:tcPr>
            <w:tcW w:w="158" w:type="dxa"/>
            <w:tcBorders/>
            <w:shd w:fill="FFFFFF" w:val="clear"/>
            <w:vAlign w:val="center"/>
          </w:tcPr>
          <w:p>
            <w:pPr>
              <w:pStyle w:val="TableContents"/>
              <w:bidi w:val="0"/>
              <w:spacing w:before="0" w:after="283"/>
              <w:jc w:val="left"/>
              <w:rPr/>
            </w:pPr>
            <w:r>
              <w:rPr/>
              <w:t> </w:t>
            </w:r>
          </w:p>
        </w:tc>
        <w:tc>
          <w:tcPr>
            <w:tcW w:w="1208"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4" w:type="dxa"/>
            <w:tcBorders/>
            <w:shd w:fill="FFFFFF" w:val="clear"/>
            <w:vAlign w:val="center"/>
          </w:tcPr>
          <w:p>
            <w:pPr>
              <w:pStyle w:val="TableContents"/>
              <w:bidi w:val="0"/>
              <w:spacing w:before="0" w:after="283"/>
              <w:jc w:val="left"/>
              <w:rPr/>
            </w:pPr>
            <w:r>
              <w:rPr/>
              <w:t> </w:t>
            </w:r>
          </w:p>
        </w:tc>
        <w:tc>
          <w:tcPr>
            <w:tcW w:w="1174" w:type="dxa"/>
            <w:tcBorders/>
            <w:shd w:fill="FFFFFF" w:val="clear"/>
            <w:vAlign w:val="center"/>
          </w:tcPr>
          <w:p>
            <w:pPr>
              <w:pStyle w:val="TableContents"/>
              <w:bidi w:val="0"/>
              <w:spacing w:before="0" w:after="283"/>
              <w:jc w:val="left"/>
              <w:rPr/>
            </w:pPr>
            <w:r>
              <w:rPr/>
              <w:t> </w:t>
            </w:r>
          </w:p>
        </w:tc>
        <w:tc>
          <w:tcPr>
            <w:tcW w:w="98" w:type="dxa"/>
            <w:tcBorders/>
            <w:shd w:fill="FFFFFF" w:val="clear"/>
            <w:vAlign w:val="center"/>
          </w:tcPr>
          <w:p>
            <w:pPr>
              <w:pStyle w:val="TableContents"/>
              <w:bidi w:val="0"/>
              <w:spacing w:before="0" w:after="283"/>
              <w:jc w:val="left"/>
              <w:rPr/>
            </w:pPr>
            <w:r>
              <w:rPr/>
              <w:t> </w:t>
            </w:r>
          </w:p>
        </w:tc>
        <w:tc>
          <w:tcPr>
            <w:tcW w:w="73" w:type="dxa"/>
            <w:tcBorders/>
            <w:shd w:fill="FFFFFF" w:val="clear"/>
            <w:vAlign w:val="center"/>
          </w:tcPr>
          <w:p>
            <w:pPr>
              <w:pStyle w:val="TableContents"/>
              <w:bidi w:val="0"/>
              <w:spacing w:before="0" w:after="283"/>
              <w:jc w:val="left"/>
              <w:rPr/>
            </w:pPr>
            <w:r>
              <w:rPr/>
              <w:t> </w:t>
            </w:r>
          </w:p>
        </w:tc>
        <w:tc>
          <w:tcPr>
            <w:tcW w:w="154" w:type="dxa"/>
            <w:tcBorders/>
            <w:shd w:fill="FFFFFF" w:val="clear"/>
            <w:vAlign w:val="center"/>
          </w:tcPr>
          <w:p>
            <w:pPr>
              <w:pStyle w:val="TableContents"/>
              <w:bidi w:val="0"/>
              <w:spacing w:before="0" w:after="283"/>
              <w:jc w:val="left"/>
              <w:rPr/>
            </w:pPr>
            <w:r>
              <w:rPr/>
              <w:t> </w:t>
            </w:r>
          </w:p>
        </w:tc>
        <w:tc>
          <w:tcPr>
            <w:tcW w:w="1174" w:type="dxa"/>
            <w:tcBorders/>
            <w:shd w:fill="FFFFFF" w:val="clear"/>
            <w:vAlign w:val="center"/>
          </w:tcPr>
          <w:p>
            <w:pPr>
              <w:pStyle w:val="TableContents"/>
              <w:bidi w:val="0"/>
              <w:spacing w:before="0" w:after="283"/>
              <w:jc w:val="left"/>
              <w:rPr/>
            </w:pPr>
            <w:r>
              <w:rPr/>
              <w:t> </w:t>
            </w:r>
          </w:p>
        </w:tc>
        <w:tc>
          <w:tcPr>
            <w:tcW w:w="87" w:type="dxa"/>
            <w:tcBorders/>
            <w:shd w:fill="FFFFFF" w:val="clear"/>
            <w:vAlign w:val="center"/>
          </w:tcPr>
          <w:p>
            <w:pPr>
              <w:pStyle w:val="TableContents"/>
              <w:bidi w:val="0"/>
              <w:spacing w:before="0" w:after="283"/>
              <w:jc w:val="left"/>
              <w:rPr/>
            </w:pPr>
            <w:r>
              <w:rPr/>
              <w:t> </w:t>
            </w:r>
          </w:p>
        </w:tc>
      </w:tr>
      <w:tr>
        <w:trPr/>
        <w:tc>
          <w:tcPr>
            <w:tcW w:w="4184" w:type="dxa"/>
            <w:tcBorders/>
            <w:shd w:fill="CCEE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Revenue:</w:t>
            </w:r>
          </w:p>
        </w:tc>
        <w:tc>
          <w:tcPr>
            <w:tcW w:w="60" w:type="dxa"/>
            <w:tcBorders/>
            <w:shd w:fill="CCEEFF" w:val="clear"/>
            <w:vAlign w:val="center"/>
          </w:tcPr>
          <w:p>
            <w:pPr>
              <w:pStyle w:val="TableContents"/>
              <w:bidi w:val="0"/>
              <w:spacing w:before="0" w:after="283"/>
              <w:jc w:val="left"/>
              <w:rPr/>
            </w:pPr>
            <w:r>
              <w:rPr/>
              <w:t> </w:t>
            </w:r>
          </w:p>
        </w:tc>
        <w:tc>
          <w:tcPr>
            <w:tcW w:w="158" w:type="dxa"/>
            <w:tcBorders/>
            <w:shd w:fill="CCEEFF" w:val="clear"/>
            <w:vAlign w:val="center"/>
          </w:tcPr>
          <w:p>
            <w:pPr>
              <w:pStyle w:val="TableContents"/>
              <w:bidi w:val="0"/>
              <w:spacing w:before="0" w:after="283"/>
              <w:jc w:val="left"/>
              <w:rPr/>
            </w:pPr>
            <w:r>
              <w:rPr/>
              <w:t> </w:t>
            </w:r>
          </w:p>
        </w:tc>
        <w:tc>
          <w:tcPr>
            <w:tcW w:w="1208" w:type="dxa"/>
            <w:tcBorders/>
            <w:shd w:fill="CCEEFF" w:val="clear"/>
            <w:vAlign w:val="center"/>
          </w:tcPr>
          <w:p>
            <w:pPr>
              <w:pStyle w:val="TableContents"/>
              <w:bidi w:val="0"/>
              <w:spacing w:before="0" w:after="283"/>
              <w:jc w:val="left"/>
              <w:rPr/>
            </w:pPr>
            <w:r>
              <w:rPr/>
              <w:t> </w:t>
            </w:r>
          </w:p>
        </w:tc>
        <w:tc>
          <w:tcPr>
            <w:tcW w:w="100" w:type="dxa"/>
            <w:tcBorders/>
            <w:shd w:fill="CCEEFF" w:val="clear"/>
            <w:vAlign w:val="center"/>
          </w:tcPr>
          <w:p>
            <w:pPr>
              <w:pStyle w:val="TableContents"/>
              <w:bidi w:val="0"/>
              <w:spacing w:before="0" w:after="283"/>
              <w:jc w:val="left"/>
              <w:rPr/>
            </w:pPr>
            <w:r>
              <w:rPr/>
              <w:t> </w:t>
            </w:r>
          </w:p>
        </w:tc>
        <w:tc>
          <w:tcPr>
            <w:tcW w:w="75" w:type="dxa"/>
            <w:tcBorders/>
            <w:shd w:fill="CCEEFF" w:val="clear"/>
            <w:vAlign w:val="center"/>
          </w:tcPr>
          <w:p>
            <w:pPr>
              <w:pStyle w:val="TableContents"/>
              <w:bidi w:val="0"/>
              <w:spacing w:before="0" w:after="283"/>
              <w:jc w:val="left"/>
              <w:rPr/>
            </w:pPr>
            <w:r>
              <w:rPr/>
              <w:t> </w:t>
            </w:r>
          </w:p>
        </w:tc>
        <w:tc>
          <w:tcPr>
            <w:tcW w:w="158" w:type="dxa"/>
            <w:tcBorders/>
            <w:shd w:fill="CCEEFF" w:val="clear"/>
            <w:vAlign w:val="center"/>
          </w:tcPr>
          <w:p>
            <w:pPr>
              <w:pStyle w:val="TableContents"/>
              <w:bidi w:val="0"/>
              <w:spacing w:before="0" w:after="283"/>
              <w:jc w:val="left"/>
              <w:rPr/>
            </w:pPr>
            <w:r>
              <w:rPr/>
              <w:t> </w:t>
            </w:r>
          </w:p>
        </w:tc>
        <w:tc>
          <w:tcPr>
            <w:tcW w:w="1208"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4" w:type="dxa"/>
            <w:tcBorders/>
            <w:shd w:fill="CCEEFF" w:val="clear"/>
            <w:vAlign w:val="center"/>
          </w:tcPr>
          <w:p>
            <w:pPr>
              <w:pStyle w:val="TableContents"/>
              <w:bidi w:val="0"/>
              <w:spacing w:before="0" w:after="283"/>
              <w:jc w:val="left"/>
              <w:rPr/>
            </w:pPr>
            <w:r>
              <w:rPr/>
              <w:t> </w:t>
            </w:r>
          </w:p>
        </w:tc>
        <w:tc>
          <w:tcPr>
            <w:tcW w:w="1174" w:type="dxa"/>
            <w:tcBorders/>
            <w:shd w:fill="CCEEFF" w:val="clear"/>
            <w:vAlign w:val="center"/>
          </w:tcPr>
          <w:p>
            <w:pPr>
              <w:pStyle w:val="TableContents"/>
              <w:bidi w:val="0"/>
              <w:spacing w:before="0" w:after="283"/>
              <w:jc w:val="left"/>
              <w:rPr/>
            </w:pPr>
            <w:r>
              <w:rPr/>
              <w:t> </w:t>
            </w:r>
          </w:p>
        </w:tc>
        <w:tc>
          <w:tcPr>
            <w:tcW w:w="98" w:type="dxa"/>
            <w:tcBorders/>
            <w:shd w:fill="CCEEFF" w:val="clear"/>
            <w:vAlign w:val="center"/>
          </w:tcPr>
          <w:p>
            <w:pPr>
              <w:pStyle w:val="TableContents"/>
              <w:bidi w:val="0"/>
              <w:spacing w:before="0" w:after="283"/>
              <w:jc w:val="left"/>
              <w:rPr/>
            </w:pPr>
            <w:r>
              <w:rPr/>
              <w:t> </w:t>
            </w:r>
          </w:p>
        </w:tc>
        <w:tc>
          <w:tcPr>
            <w:tcW w:w="73" w:type="dxa"/>
            <w:tcBorders/>
            <w:shd w:fill="CCEEFF" w:val="clear"/>
            <w:vAlign w:val="center"/>
          </w:tcPr>
          <w:p>
            <w:pPr>
              <w:pStyle w:val="TableContents"/>
              <w:bidi w:val="0"/>
              <w:spacing w:before="0" w:after="283"/>
              <w:jc w:val="left"/>
              <w:rPr/>
            </w:pPr>
            <w:r>
              <w:rPr/>
              <w:t> </w:t>
            </w:r>
          </w:p>
        </w:tc>
        <w:tc>
          <w:tcPr>
            <w:tcW w:w="154" w:type="dxa"/>
            <w:tcBorders/>
            <w:shd w:fill="CCEEFF" w:val="clear"/>
            <w:vAlign w:val="center"/>
          </w:tcPr>
          <w:p>
            <w:pPr>
              <w:pStyle w:val="TableContents"/>
              <w:bidi w:val="0"/>
              <w:spacing w:before="0" w:after="283"/>
              <w:jc w:val="left"/>
              <w:rPr/>
            </w:pPr>
            <w:r>
              <w:rPr/>
              <w:t> </w:t>
            </w:r>
          </w:p>
        </w:tc>
        <w:tc>
          <w:tcPr>
            <w:tcW w:w="1174" w:type="dxa"/>
            <w:tcBorders/>
            <w:shd w:fill="CCEEFF" w:val="clear"/>
            <w:vAlign w:val="center"/>
          </w:tcPr>
          <w:p>
            <w:pPr>
              <w:pStyle w:val="TableContents"/>
              <w:bidi w:val="0"/>
              <w:spacing w:before="0" w:after="283"/>
              <w:jc w:val="left"/>
              <w:rPr/>
            </w:pPr>
            <w:r>
              <w:rPr/>
              <w:t> </w:t>
            </w:r>
          </w:p>
        </w:tc>
        <w:tc>
          <w:tcPr>
            <w:tcW w:w="87" w:type="dxa"/>
            <w:tcBorders/>
            <w:shd w:fill="CCEEFF" w:val="clear"/>
            <w:vAlign w:val="center"/>
          </w:tcPr>
          <w:p>
            <w:pPr>
              <w:pStyle w:val="TableContents"/>
              <w:bidi w:val="0"/>
              <w:spacing w:before="0" w:after="283"/>
              <w:jc w:val="left"/>
              <w:rPr/>
            </w:pPr>
            <w:r>
              <w:rPr/>
              <w:t> </w:t>
            </w:r>
          </w:p>
        </w:tc>
      </w:tr>
      <w:tr>
        <w:trPr/>
        <w:tc>
          <w:tcPr>
            <w:tcW w:w="4184"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Oil</w:t>
            </w:r>
          </w:p>
        </w:tc>
        <w:tc>
          <w:tcPr>
            <w:tcW w:w="60" w:type="dxa"/>
            <w:tcBorders/>
            <w:shd w:fill="FFFFFF" w:val="clear"/>
            <w:vAlign w:val="center"/>
          </w:tcPr>
          <w:p>
            <w:pPr>
              <w:pStyle w:val="TableContents"/>
              <w:bidi w:val="0"/>
              <w:spacing w:before="0" w:after="283"/>
              <w:ind w:left="0" w:right="0" w:hanging="0"/>
              <w:jc w:val="left"/>
              <w:rPr/>
            </w:pPr>
            <w:r>
              <w:rPr/>
              <w:t> </w:t>
            </w:r>
          </w:p>
        </w:tc>
        <w:tc>
          <w:tcPr>
            <w:tcW w:w="158"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20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1,587</w:t>
            </w:r>
          </w:p>
        </w:tc>
        <w:tc>
          <w:tcPr>
            <w:tcW w:w="100" w:type="dxa"/>
            <w:tcBorders/>
            <w:shd w:fill="FFFFFF" w:val="clear"/>
            <w:vAlign w:val="center"/>
          </w:tcPr>
          <w:p>
            <w:pPr>
              <w:pStyle w:val="TableContents"/>
              <w:bidi w:val="0"/>
              <w:spacing w:before="0" w:after="283"/>
              <w:jc w:val="left"/>
              <w:rPr/>
            </w:pPr>
            <w:r>
              <w:rPr/>
              <w:t> </w:t>
            </w:r>
          </w:p>
        </w:tc>
        <w:tc>
          <w:tcPr>
            <w:tcW w:w="75" w:type="dxa"/>
            <w:tcBorders/>
            <w:shd w:fill="FFFFFF" w:val="clear"/>
            <w:vAlign w:val="center"/>
          </w:tcPr>
          <w:p>
            <w:pPr>
              <w:pStyle w:val="TableContents"/>
              <w:bidi w:val="0"/>
              <w:spacing w:before="0" w:after="283"/>
              <w:ind w:left="0" w:right="0" w:hanging="0"/>
              <w:jc w:val="left"/>
              <w:rPr/>
            </w:pPr>
            <w:r>
              <w:rPr/>
              <w:t> </w:t>
            </w:r>
          </w:p>
        </w:tc>
        <w:tc>
          <w:tcPr>
            <w:tcW w:w="158"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20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4,375</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54"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174"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5,201</w:t>
            </w:r>
          </w:p>
        </w:tc>
        <w:tc>
          <w:tcPr>
            <w:tcW w:w="98" w:type="dxa"/>
            <w:tcBorders/>
            <w:shd w:fill="FFFFFF" w:val="clear"/>
            <w:vAlign w:val="center"/>
          </w:tcPr>
          <w:p>
            <w:pPr>
              <w:pStyle w:val="TableContents"/>
              <w:bidi w:val="0"/>
              <w:spacing w:before="0" w:after="283"/>
              <w:jc w:val="left"/>
              <w:rPr/>
            </w:pPr>
            <w:r>
              <w:rPr/>
              <w:t> </w:t>
            </w:r>
          </w:p>
        </w:tc>
        <w:tc>
          <w:tcPr>
            <w:tcW w:w="73" w:type="dxa"/>
            <w:tcBorders/>
            <w:shd w:fill="FFFFFF" w:val="clear"/>
            <w:vAlign w:val="center"/>
          </w:tcPr>
          <w:p>
            <w:pPr>
              <w:pStyle w:val="TableContents"/>
              <w:bidi w:val="0"/>
              <w:spacing w:before="0" w:after="283"/>
              <w:ind w:left="0" w:right="0" w:hanging="0"/>
              <w:jc w:val="left"/>
              <w:rPr/>
            </w:pPr>
            <w:r>
              <w:rPr/>
              <w:t> </w:t>
            </w:r>
          </w:p>
        </w:tc>
        <w:tc>
          <w:tcPr>
            <w:tcW w:w="154"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174"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14,574</w:t>
            </w:r>
          </w:p>
        </w:tc>
        <w:tc>
          <w:tcPr>
            <w:tcW w:w="87" w:type="dxa"/>
            <w:tcBorders/>
            <w:shd w:fill="FFFFFF" w:val="clear"/>
            <w:vAlign w:val="center"/>
          </w:tcPr>
          <w:p>
            <w:pPr>
              <w:pStyle w:val="TableContents"/>
              <w:bidi w:val="0"/>
              <w:spacing w:before="0" w:after="283"/>
              <w:jc w:val="left"/>
              <w:rPr/>
            </w:pPr>
            <w:r>
              <w:rPr/>
              <w:t> </w:t>
            </w:r>
          </w:p>
        </w:tc>
      </w:tr>
      <w:tr>
        <w:trPr/>
        <w:tc>
          <w:tcPr>
            <w:tcW w:w="4184"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Natural gas and liquids</w:t>
            </w:r>
          </w:p>
        </w:tc>
        <w:tc>
          <w:tcPr>
            <w:tcW w:w="60" w:type="dxa"/>
            <w:tcBorders/>
            <w:shd w:fill="CCEEFF" w:val="clear"/>
            <w:vAlign w:val="center"/>
          </w:tcPr>
          <w:p>
            <w:pPr>
              <w:pStyle w:val="TableContents"/>
              <w:bidi w:val="0"/>
              <w:spacing w:before="0" w:after="283"/>
              <w:jc w:val="left"/>
              <w:rPr/>
            </w:pPr>
            <w:r>
              <w:rPr/>
              <w:t> </w:t>
            </w:r>
          </w:p>
        </w:tc>
        <w:tc>
          <w:tcPr>
            <w:tcW w:w="158"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208"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151</w:t>
            </w:r>
          </w:p>
        </w:tc>
        <w:tc>
          <w:tcPr>
            <w:tcW w:w="100" w:type="dxa"/>
            <w:tcBorders/>
            <w:shd w:fill="CCEEFF" w:val="clear"/>
            <w:vAlign w:val="center"/>
          </w:tcPr>
          <w:p>
            <w:pPr>
              <w:pStyle w:val="TableContents"/>
              <w:bidi w:val="0"/>
              <w:spacing w:before="0" w:after="283"/>
              <w:jc w:val="left"/>
              <w:rPr/>
            </w:pPr>
            <w:r>
              <w:rPr/>
              <w:t> </w:t>
            </w:r>
          </w:p>
        </w:tc>
        <w:tc>
          <w:tcPr>
            <w:tcW w:w="75" w:type="dxa"/>
            <w:tcBorders/>
            <w:shd w:fill="CCEEFF" w:val="clear"/>
            <w:vAlign w:val="center"/>
          </w:tcPr>
          <w:p>
            <w:pPr>
              <w:pStyle w:val="TableContents"/>
              <w:bidi w:val="0"/>
              <w:spacing w:before="0" w:after="283"/>
              <w:jc w:val="left"/>
              <w:rPr/>
            </w:pPr>
            <w:r>
              <w:rPr/>
              <w:t> </w:t>
            </w:r>
          </w:p>
        </w:tc>
        <w:tc>
          <w:tcPr>
            <w:tcW w:w="158"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208"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582</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4"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174"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758</w:t>
            </w:r>
          </w:p>
        </w:tc>
        <w:tc>
          <w:tcPr>
            <w:tcW w:w="98" w:type="dxa"/>
            <w:tcBorders/>
            <w:shd w:fill="CCEEFF" w:val="clear"/>
            <w:vAlign w:val="center"/>
          </w:tcPr>
          <w:p>
            <w:pPr>
              <w:pStyle w:val="TableContents"/>
              <w:bidi w:val="0"/>
              <w:spacing w:before="0" w:after="283"/>
              <w:jc w:val="left"/>
              <w:rPr/>
            </w:pPr>
            <w:r>
              <w:rPr/>
              <w:t> </w:t>
            </w:r>
          </w:p>
        </w:tc>
        <w:tc>
          <w:tcPr>
            <w:tcW w:w="73" w:type="dxa"/>
            <w:tcBorders/>
            <w:shd w:fill="CCEEFF" w:val="clear"/>
            <w:vAlign w:val="center"/>
          </w:tcPr>
          <w:p>
            <w:pPr>
              <w:pStyle w:val="TableContents"/>
              <w:bidi w:val="0"/>
              <w:spacing w:before="0" w:after="283"/>
              <w:jc w:val="left"/>
              <w:rPr/>
            </w:pPr>
            <w:r>
              <w:rPr/>
              <w:t> </w:t>
            </w:r>
          </w:p>
        </w:tc>
        <w:tc>
          <w:tcPr>
            <w:tcW w:w="154"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174"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1,820</w:t>
            </w:r>
          </w:p>
        </w:tc>
        <w:tc>
          <w:tcPr>
            <w:tcW w:w="87" w:type="dxa"/>
            <w:tcBorders/>
            <w:shd w:fill="CCEEFF" w:val="clear"/>
            <w:vAlign w:val="center"/>
          </w:tcPr>
          <w:p>
            <w:pPr>
              <w:pStyle w:val="TableContents"/>
              <w:bidi w:val="0"/>
              <w:spacing w:before="0" w:after="283"/>
              <w:jc w:val="left"/>
              <w:rPr/>
            </w:pPr>
            <w:r>
              <w:rPr/>
              <w:t> </w:t>
            </w:r>
          </w:p>
        </w:tc>
      </w:tr>
      <w:tr>
        <w:trPr/>
        <w:tc>
          <w:tcPr>
            <w:tcW w:w="4184" w:type="dxa"/>
            <w:tcBorders/>
            <w:shd w:fill="FFFF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revenue</w:t>
            </w:r>
          </w:p>
        </w:tc>
        <w:tc>
          <w:tcPr>
            <w:tcW w:w="60" w:type="dxa"/>
            <w:tcBorders/>
            <w:shd w:fill="FFFFFF" w:val="clear"/>
            <w:vAlign w:val="center"/>
          </w:tcPr>
          <w:p>
            <w:pPr>
              <w:pStyle w:val="TableContents"/>
              <w:bidi w:val="0"/>
              <w:spacing w:before="0" w:after="283"/>
              <w:jc w:val="left"/>
              <w:rPr/>
            </w:pPr>
            <w:r>
              <w:rPr/>
              <w:t> </w:t>
            </w:r>
          </w:p>
        </w:tc>
        <w:tc>
          <w:tcPr>
            <w:tcW w:w="158" w:type="dxa"/>
            <w:tcBorders/>
            <w:shd w:fill="FFFFFF" w:val="clear"/>
            <w:vAlign w:val="center"/>
          </w:tcPr>
          <w:p>
            <w:pPr>
              <w:pStyle w:val="TableContents"/>
              <w:bidi w:val="0"/>
              <w:spacing w:before="0" w:after="283"/>
              <w:ind w:left="0" w:right="0" w:hanging="0"/>
              <w:jc w:val="left"/>
              <w:rPr/>
            </w:pPr>
            <w:r>
              <w:rPr/>
              <w:t> </w:t>
            </w:r>
          </w:p>
        </w:tc>
        <w:tc>
          <w:tcPr>
            <w:tcW w:w="120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1,738</w:t>
            </w:r>
          </w:p>
        </w:tc>
        <w:tc>
          <w:tcPr>
            <w:tcW w:w="100" w:type="dxa"/>
            <w:tcBorders/>
            <w:shd w:fill="FFFFFF" w:val="clear"/>
            <w:vAlign w:val="center"/>
          </w:tcPr>
          <w:p>
            <w:pPr>
              <w:pStyle w:val="TableContents"/>
              <w:bidi w:val="0"/>
              <w:spacing w:before="0" w:after="283"/>
              <w:jc w:val="left"/>
              <w:rPr/>
            </w:pPr>
            <w:r>
              <w:rPr/>
              <w:t> </w:t>
            </w:r>
          </w:p>
        </w:tc>
        <w:tc>
          <w:tcPr>
            <w:tcW w:w="75" w:type="dxa"/>
            <w:tcBorders/>
            <w:shd w:fill="FFFFFF" w:val="clear"/>
            <w:vAlign w:val="center"/>
          </w:tcPr>
          <w:p>
            <w:pPr>
              <w:pStyle w:val="TableContents"/>
              <w:bidi w:val="0"/>
              <w:spacing w:before="0" w:after="283"/>
              <w:jc w:val="left"/>
              <w:rPr/>
            </w:pPr>
            <w:r>
              <w:rPr/>
              <w:t> </w:t>
            </w:r>
          </w:p>
        </w:tc>
        <w:tc>
          <w:tcPr>
            <w:tcW w:w="158" w:type="dxa"/>
            <w:tcBorders/>
            <w:shd w:fill="FFFFFF" w:val="clear"/>
            <w:vAlign w:val="center"/>
          </w:tcPr>
          <w:p>
            <w:pPr>
              <w:pStyle w:val="TableContents"/>
              <w:bidi w:val="0"/>
              <w:spacing w:before="0" w:after="283"/>
              <w:ind w:left="0" w:right="0" w:hanging="0"/>
              <w:jc w:val="left"/>
              <w:rPr/>
            </w:pPr>
            <w:r>
              <w:rPr/>
              <w:t> </w:t>
            </w:r>
          </w:p>
        </w:tc>
        <w:tc>
          <w:tcPr>
            <w:tcW w:w="120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4,957</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4" w:type="dxa"/>
            <w:tcBorders/>
            <w:shd w:fill="FFFFFF" w:val="clear"/>
            <w:vAlign w:val="center"/>
          </w:tcPr>
          <w:p>
            <w:pPr>
              <w:pStyle w:val="TableContents"/>
              <w:bidi w:val="0"/>
              <w:spacing w:before="0" w:after="283"/>
              <w:ind w:left="0" w:right="0" w:hanging="0"/>
              <w:jc w:val="left"/>
              <w:rPr/>
            </w:pPr>
            <w:r>
              <w:rPr/>
              <w:t> </w:t>
            </w:r>
          </w:p>
        </w:tc>
        <w:tc>
          <w:tcPr>
            <w:tcW w:w="1174"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5,959</w:t>
            </w:r>
          </w:p>
        </w:tc>
        <w:tc>
          <w:tcPr>
            <w:tcW w:w="98" w:type="dxa"/>
            <w:tcBorders/>
            <w:shd w:fill="FFFFFF" w:val="clear"/>
            <w:vAlign w:val="center"/>
          </w:tcPr>
          <w:p>
            <w:pPr>
              <w:pStyle w:val="TableContents"/>
              <w:bidi w:val="0"/>
              <w:spacing w:before="0" w:after="283"/>
              <w:jc w:val="left"/>
              <w:rPr/>
            </w:pPr>
            <w:r>
              <w:rPr/>
              <w:t> </w:t>
            </w:r>
          </w:p>
        </w:tc>
        <w:tc>
          <w:tcPr>
            <w:tcW w:w="73" w:type="dxa"/>
            <w:tcBorders/>
            <w:shd w:fill="FFFFFF" w:val="clear"/>
            <w:vAlign w:val="center"/>
          </w:tcPr>
          <w:p>
            <w:pPr>
              <w:pStyle w:val="TableContents"/>
              <w:bidi w:val="0"/>
              <w:spacing w:before="0" w:after="283"/>
              <w:jc w:val="left"/>
              <w:rPr/>
            </w:pPr>
            <w:r>
              <w:rPr/>
              <w:t> </w:t>
            </w:r>
          </w:p>
        </w:tc>
        <w:tc>
          <w:tcPr>
            <w:tcW w:w="154" w:type="dxa"/>
            <w:tcBorders/>
            <w:shd w:fill="FFFFFF" w:val="clear"/>
            <w:vAlign w:val="center"/>
          </w:tcPr>
          <w:p>
            <w:pPr>
              <w:pStyle w:val="TableContents"/>
              <w:bidi w:val="0"/>
              <w:spacing w:before="0" w:after="283"/>
              <w:ind w:left="0" w:right="0" w:hanging="0"/>
              <w:jc w:val="left"/>
              <w:rPr/>
            </w:pPr>
            <w:r>
              <w:rPr/>
              <w:t> </w:t>
            </w:r>
          </w:p>
        </w:tc>
        <w:tc>
          <w:tcPr>
            <w:tcW w:w="1174"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16,394</w:t>
            </w:r>
          </w:p>
        </w:tc>
        <w:tc>
          <w:tcPr>
            <w:tcW w:w="87" w:type="dxa"/>
            <w:tcBorders/>
            <w:shd w:fill="FFFFFF" w:val="clear"/>
            <w:vAlign w:val="center"/>
          </w:tcPr>
          <w:p>
            <w:pPr>
              <w:pStyle w:val="TableContents"/>
              <w:bidi w:val="0"/>
              <w:spacing w:before="0" w:after="283"/>
              <w:jc w:val="left"/>
              <w:rPr/>
            </w:pPr>
            <w:r>
              <w:rPr/>
              <w:t> </w:t>
            </w:r>
          </w:p>
        </w:tc>
      </w:tr>
      <w:tr>
        <w:trPr/>
        <w:tc>
          <w:tcPr>
            <w:tcW w:w="4184"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8" w:type="dxa"/>
            <w:tcBorders/>
            <w:shd w:fill="CCEEFF" w:val="clear"/>
            <w:vAlign w:val="center"/>
          </w:tcPr>
          <w:p>
            <w:pPr>
              <w:pStyle w:val="TableContents"/>
              <w:bidi w:val="0"/>
              <w:spacing w:before="0" w:after="283"/>
              <w:jc w:val="left"/>
              <w:rPr/>
            </w:pPr>
            <w:r>
              <w:rPr/>
              <w:t> </w:t>
            </w:r>
          </w:p>
        </w:tc>
        <w:tc>
          <w:tcPr>
            <w:tcW w:w="1208" w:type="dxa"/>
            <w:tcBorders/>
            <w:shd w:fill="CCEEFF" w:val="clear"/>
            <w:vAlign w:val="center"/>
          </w:tcPr>
          <w:p>
            <w:pPr>
              <w:pStyle w:val="TableContents"/>
              <w:bidi w:val="0"/>
              <w:spacing w:before="0" w:after="283"/>
              <w:jc w:val="left"/>
              <w:rPr/>
            </w:pPr>
            <w:r>
              <w:rPr/>
              <w:t> </w:t>
            </w:r>
          </w:p>
        </w:tc>
        <w:tc>
          <w:tcPr>
            <w:tcW w:w="100" w:type="dxa"/>
            <w:tcBorders/>
            <w:shd w:fill="CCEEFF" w:val="clear"/>
            <w:vAlign w:val="center"/>
          </w:tcPr>
          <w:p>
            <w:pPr>
              <w:pStyle w:val="TableContents"/>
              <w:bidi w:val="0"/>
              <w:spacing w:before="0" w:after="283"/>
              <w:jc w:val="left"/>
              <w:rPr/>
            </w:pPr>
            <w:r>
              <w:rPr/>
              <w:t> </w:t>
            </w:r>
          </w:p>
        </w:tc>
        <w:tc>
          <w:tcPr>
            <w:tcW w:w="75" w:type="dxa"/>
            <w:tcBorders/>
            <w:shd w:fill="CCEEFF" w:val="clear"/>
            <w:vAlign w:val="center"/>
          </w:tcPr>
          <w:p>
            <w:pPr>
              <w:pStyle w:val="TableContents"/>
              <w:bidi w:val="0"/>
              <w:spacing w:before="0" w:after="283"/>
              <w:jc w:val="left"/>
              <w:rPr/>
            </w:pPr>
            <w:r>
              <w:rPr/>
              <w:t> </w:t>
            </w:r>
          </w:p>
        </w:tc>
        <w:tc>
          <w:tcPr>
            <w:tcW w:w="158" w:type="dxa"/>
            <w:tcBorders/>
            <w:shd w:fill="CCEEFF" w:val="clear"/>
            <w:vAlign w:val="center"/>
          </w:tcPr>
          <w:p>
            <w:pPr>
              <w:pStyle w:val="TableContents"/>
              <w:bidi w:val="0"/>
              <w:spacing w:before="0" w:after="283"/>
              <w:jc w:val="left"/>
              <w:rPr/>
            </w:pPr>
            <w:r>
              <w:rPr/>
              <w:t> </w:t>
            </w:r>
          </w:p>
        </w:tc>
        <w:tc>
          <w:tcPr>
            <w:tcW w:w="1208"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4" w:type="dxa"/>
            <w:tcBorders/>
            <w:shd w:fill="CCEEFF" w:val="clear"/>
            <w:vAlign w:val="center"/>
          </w:tcPr>
          <w:p>
            <w:pPr>
              <w:pStyle w:val="TableContents"/>
              <w:bidi w:val="0"/>
              <w:spacing w:before="0" w:after="283"/>
              <w:jc w:val="left"/>
              <w:rPr/>
            </w:pPr>
            <w:r>
              <w:rPr/>
              <w:t> </w:t>
            </w:r>
          </w:p>
        </w:tc>
        <w:tc>
          <w:tcPr>
            <w:tcW w:w="1174" w:type="dxa"/>
            <w:tcBorders/>
            <w:shd w:fill="CCEEFF" w:val="clear"/>
            <w:vAlign w:val="center"/>
          </w:tcPr>
          <w:p>
            <w:pPr>
              <w:pStyle w:val="TableContents"/>
              <w:bidi w:val="0"/>
              <w:spacing w:before="0" w:after="283"/>
              <w:jc w:val="left"/>
              <w:rPr/>
            </w:pPr>
            <w:r>
              <w:rPr/>
              <w:t> </w:t>
            </w:r>
          </w:p>
        </w:tc>
        <w:tc>
          <w:tcPr>
            <w:tcW w:w="98" w:type="dxa"/>
            <w:tcBorders/>
            <w:shd w:fill="CCEEFF" w:val="clear"/>
            <w:vAlign w:val="center"/>
          </w:tcPr>
          <w:p>
            <w:pPr>
              <w:pStyle w:val="TableContents"/>
              <w:bidi w:val="0"/>
              <w:spacing w:before="0" w:after="283"/>
              <w:jc w:val="left"/>
              <w:rPr/>
            </w:pPr>
            <w:r>
              <w:rPr/>
              <w:t> </w:t>
            </w:r>
          </w:p>
        </w:tc>
        <w:tc>
          <w:tcPr>
            <w:tcW w:w="73" w:type="dxa"/>
            <w:tcBorders/>
            <w:shd w:fill="CCEEFF" w:val="clear"/>
            <w:vAlign w:val="center"/>
          </w:tcPr>
          <w:p>
            <w:pPr>
              <w:pStyle w:val="TableContents"/>
              <w:bidi w:val="0"/>
              <w:spacing w:before="0" w:after="283"/>
              <w:jc w:val="left"/>
              <w:rPr/>
            </w:pPr>
            <w:r>
              <w:rPr/>
              <w:t> </w:t>
            </w:r>
          </w:p>
        </w:tc>
        <w:tc>
          <w:tcPr>
            <w:tcW w:w="154" w:type="dxa"/>
            <w:tcBorders/>
            <w:shd w:fill="CCEEFF" w:val="clear"/>
            <w:vAlign w:val="center"/>
          </w:tcPr>
          <w:p>
            <w:pPr>
              <w:pStyle w:val="TableContents"/>
              <w:bidi w:val="0"/>
              <w:spacing w:before="0" w:after="283"/>
              <w:jc w:val="left"/>
              <w:rPr/>
            </w:pPr>
            <w:r>
              <w:rPr/>
              <w:t> </w:t>
            </w:r>
          </w:p>
        </w:tc>
        <w:tc>
          <w:tcPr>
            <w:tcW w:w="1174" w:type="dxa"/>
            <w:tcBorders/>
            <w:shd w:fill="CCEEFF" w:val="clear"/>
            <w:vAlign w:val="center"/>
          </w:tcPr>
          <w:p>
            <w:pPr>
              <w:pStyle w:val="TableContents"/>
              <w:bidi w:val="0"/>
              <w:spacing w:before="0" w:after="283"/>
              <w:jc w:val="left"/>
              <w:rPr/>
            </w:pPr>
            <w:r>
              <w:rPr/>
              <w:t> </w:t>
            </w:r>
          </w:p>
        </w:tc>
        <w:tc>
          <w:tcPr>
            <w:tcW w:w="87" w:type="dxa"/>
            <w:tcBorders/>
            <w:shd w:fill="CCEEFF" w:val="clear"/>
            <w:vAlign w:val="center"/>
          </w:tcPr>
          <w:p>
            <w:pPr>
              <w:pStyle w:val="TableContents"/>
              <w:bidi w:val="0"/>
              <w:spacing w:before="0" w:after="283"/>
              <w:jc w:val="left"/>
              <w:rPr/>
            </w:pPr>
            <w:r>
              <w:rPr/>
              <w:t> </w:t>
            </w:r>
          </w:p>
        </w:tc>
      </w:tr>
      <w:tr>
        <w:trPr/>
        <w:tc>
          <w:tcPr>
            <w:tcW w:w="4184" w:type="dxa"/>
            <w:tcBorders/>
            <w:shd w:fill="FFFF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Operating expenses:</w:t>
            </w:r>
          </w:p>
        </w:tc>
        <w:tc>
          <w:tcPr>
            <w:tcW w:w="60" w:type="dxa"/>
            <w:tcBorders/>
            <w:shd w:fill="FFFFFF" w:val="clear"/>
            <w:vAlign w:val="center"/>
          </w:tcPr>
          <w:p>
            <w:pPr>
              <w:pStyle w:val="TableContents"/>
              <w:bidi w:val="0"/>
              <w:spacing w:before="0" w:after="283"/>
              <w:jc w:val="left"/>
              <w:rPr/>
            </w:pPr>
            <w:r>
              <w:rPr/>
              <w:t> </w:t>
            </w:r>
          </w:p>
        </w:tc>
        <w:tc>
          <w:tcPr>
            <w:tcW w:w="158" w:type="dxa"/>
            <w:tcBorders/>
            <w:shd w:fill="FFFFFF" w:val="clear"/>
            <w:vAlign w:val="center"/>
          </w:tcPr>
          <w:p>
            <w:pPr>
              <w:pStyle w:val="TableContents"/>
              <w:bidi w:val="0"/>
              <w:spacing w:before="0" w:after="283"/>
              <w:jc w:val="left"/>
              <w:rPr/>
            </w:pPr>
            <w:r>
              <w:rPr/>
              <w:t> </w:t>
            </w:r>
          </w:p>
        </w:tc>
        <w:tc>
          <w:tcPr>
            <w:tcW w:w="1208" w:type="dxa"/>
            <w:tcBorders/>
            <w:shd w:fill="FFFFFF" w:val="clear"/>
            <w:vAlign w:val="center"/>
          </w:tcPr>
          <w:p>
            <w:pPr>
              <w:pStyle w:val="TableContents"/>
              <w:bidi w:val="0"/>
              <w:spacing w:before="0" w:after="283"/>
              <w:jc w:val="left"/>
              <w:rPr/>
            </w:pPr>
            <w:r>
              <w:rPr/>
              <w:t> </w:t>
            </w:r>
          </w:p>
        </w:tc>
        <w:tc>
          <w:tcPr>
            <w:tcW w:w="100" w:type="dxa"/>
            <w:tcBorders/>
            <w:shd w:fill="FFFFFF" w:val="clear"/>
            <w:vAlign w:val="center"/>
          </w:tcPr>
          <w:p>
            <w:pPr>
              <w:pStyle w:val="TableContents"/>
              <w:bidi w:val="0"/>
              <w:spacing w:before="0" w:after="283"/>
              <w:jc w:val="left"/>
              <w:rPr/>
            </w:pPr>
            <w:r>
              <w:rPr/>
              <w:t> </w:t>
            </w:r>
          </w:p>
        </w:tc>
        <w:tc>
          <w:tcPr>
            <w:tcW w:w="75" w:type="dxa"/>
            <w:tcBorders/>
            <w:shd w:fill="FFFFFF" w:val="clear"/>
            <w:vAlign w:val="center"/>
          </w:tcPr>
          <w:p>
            <w:pPr>
              <w:pStyle w:val="TableContents"/>
              <w:bidi w:val="0"/>
              <w:spacing w:before="0" w:after="283"/>
              <w:jc w:val="left"/>
              <w:rPr/>
            </w:pPr>
            <w:r>
              <w:rPr/>
              <w:t> </w:t>
            </w:r>
          </w:p>
        </w:tc>
        <w:tc>
          <w:tcPr>
            <w:tcW w:w="158" w:type="dxa"/>
            <w:tcBorders/>
            <w:shd w:fill="FFFFFF" w:val="clear"/>
            <w:vAlign w:val="center"/>
          </w:tcPr>
          <w:p>
            <w:pPr>
              <w:pStyle w:val="TableContents"/>
              <w:bidi w:val="0"/>
              <w:spacing w:before="0" w:after="283"/>
              <w:jc w:val="left"/>
              <w:rPr/>
            </w:pPr>
            <w:r>
              <w:rPr/>
              <w:t> </w:t>
            </w:r>
          </w:p>
        </w:tc>
        <w:tc>
          <w:tcPr>
            <w:tcW w:w="1208"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4" w:type="dxa"/>
            <w:tcBorders/>
            <w:shd w:fill="FFFFFF" w:val="clear"/>
            <w:vAlign w:val="center"/>
          </w:tcPr>
          <w:p>
            <w:pPr>
              <w:pStyle w:val="TableContents"/>
              <w:bidi w:val="0"/>
              <w:spacing w:before="0" w:after="283"/>
              <w:jc w:val="left"/>
              <w:rPr/>
            </w:pPr>
            <w:r>
              <w:rPr/>
              <w:t> </w:t>
            </w:r>
          </w:p>
        </w:tc>
        <w:tc>
          <w:tcPr>
            <w:tcW w:w="1174" w:type="dxa"/>
            <w:tcBorders/>
            <w:shd w:fill="FFFFFF" w:val="clear"/>
            <w:vAlign w:val="center"/>
          </w:tcPr>
          <w:p>
            <w:pPr>
              <w:pStyle w:val="TableContents"/>
              <w:bidi w:val="0"/>
              <w:spacing w:before="0" w:after="283"/>
              <w:jc w:val="left"/>
              <w:rPr/>
            </w:pPr>
            <w:r>
              <w:rPr/>
              <w:t> </w:t>
            </w:r>
          </w:p>
        </w:tc>
        <w:tc>
          <w:tcPr>
            <w:tcW w:w="98" w:type="dxa"/>
            <w:tcBorders/>
            <w:shd w:fill="FFFFFF" w:val="clear"/>
            <w:vAlign w:val="center"/>
          </w:tcPr>
          <w:p>
            <w:pPr>
              <w:pStyle w:val="TableContents"/>
              <w:bidi w:val="0"/>
              <w:spacing w:before="0" w:after="283"/>
              <w:jc w:val="left"/>
              <w:rPr/>
            </w:pPr>
            <w:r>
              <w:rPr/>
              <w:t> </w:t>
            </w:r>
          </w:p>
        </w:tc>
        <w:tc>
          <w:tcPr>
            <w:tcW w:w="73" w:type="dxa"/>
            <w:tcBorders/>
            <w:shd w:fill="FFFFFF" w:val="clear"/>
            <w:vAlign w:val="center"/>
          </w:tcPr>
          <w:p>
            <w:pPr>
              <w:pStyle w:val="TableContents"/>
              <w:bidi w:val="0"/>
              <w:spacing w:before="0" w:after="283"/>
              <w:jc w:val="left"/>
              <w:rPr/>
            </w:pPr>
            <w:r>
              <w:rPr/>
              <w:t> </w:t>
            </w:r>
          </w:p>
        </w:tc>
        <w:tc>
          <w:tcPr>
            <w:tcW w:w="154" w:type="dxa"/>
            <w:tcBorders/>
            <w:shd w:fill="FFFFFF" w:val="clear"/>
            <w:vAlign w:val="center"/>
          </w:tcPr>
          <w:p>
            <w:pPr>
              <w:pStyle w:val="TableContents"/>
              <w:bidi w:val="0"/>
              <w:spacing w:before="0" w:after="283"/>
              <w:jc w:val="left"/>
              <w:rPr/>
            </w:pPr>
            <w:r>
              <w:rPr/>
              <w:t> </w:t>
            </w:r>
          </w:p>
        </w:tc>
        <w:tc>
          <w:tcPr>
            <w:tcW w:w="1174" w:type="dxa"/>
            <w:tcBorders/>
            <w:shd w:fill="FFFFFF" w:val="clear"/>
            <w:vAlign w:val="center"/>
          </w:tcPr>
          <w:p>
            <w:pPr>
              <w:pStyle w:val="TableContents"/>
              <w:bidi w:val="0"/>
              <w:spacing w:before="0" w:after="283"/>
              <w:jc w:val="left"/>
              <w:rPr/>
            </w:pPr>
            <w:r>
              <w:rPr/>
              <w:t> </w:t>
            </w:r>
          </w:p>
        </w:tc>
        <w:tc>
          <w:tcPr>
            <w:tcW w:w="87" w:type="dxa"/>
            <w:tcBorders/>
            <w:shd w:fill="FFFFFF" w:val="clear"/>
            <w:vAlign w:val="center"/>
          </w:tcPr>
          <w:p>
            <w:pPr>
              <w:pStyle w:val="TableContents"/>
              <w:bidi w:val="0"/>
              <w:spacing w:before="0" w:after="283"/>
              <w:jc w:val="left"/>
              <w:rPr/>
            </w:pPr>
            <w:r>
              <w:rPr/>
              <w:t> </w:t>
            </w:r>
          </w:p>
        </w:tc>
      </w:tr>
      <w:tr>
        <w:trPr/>
        <w:tc>
          <w:tcPr>
            <w:tcW w:w="4184"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Lease operating expenses</w:t>
            </w:r>
          </w:p>
        </w:tc>
        <w:tc>
          <w:tcPr>
            <w:tcW w:w="60" w:type="dxa"/>
            <w:tcBorders/>
            <w:shd w:fill="CCEEFF" w:val="clear"/>
            <w:vAlign w:val="center"/>
          </w:tcPr>
          <w:p>
            <w:pPr>
              <w:pStyle w:val="TableContents"/>
              <w:bidi w:val="0"/>
              <w:spacing w:before="0" w:after="283"/>
              <w:jc w:val="left"/>
              <w:rPr/>
            </w:pPr>
            <w:r>
              <w:rPr/>
              <w:t> </w:t>
            </w:r>
          </w:p>
        </w:tc>
        <w:tc>
          <w:tcPr>
            <w:tcW w:w="158" w:type="dxa"/>
            <w:tcBorders/>
            <w:shd w:fill="CCEEFF" w:val="clear"/>
            <w:vAlign w:val="center"/>
          </w:tcPr>
          <w:p>
            <w:pPr>
              <w:pStyle w:val="TableContents"/>
              <w:bidi w:val="0"/>
              <w:spacing w:before="0" w:after="283"/>
              <w:ind w:left="0" w:right="0" w:hanging="0"/>
              <w:jc w:val="left"/>
              <w:rPr/>
            </w:pPr>
            <w:r>
              <w:rPr/>
              <w:t> </w:t>
            </w:r>
          </w:p>
        </w:tc>
        <w:tc>
          <w:tcPr>
            <w:tcW w:w="120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1,037</w:t>
            </w:r>
          </w:p>
        </w:tc>
        <w:tc>
          <w:tcPr>
            <w:tcW w:w="100" w:type="dxa"/>
            <w:tcBorders/>
            <w:shd w:fill="CCEEFF" w:val="clear"/>
            <w:vAlign w:val="center"/>
          </w:tcPr>
          <w:p>
            <w:pPr>
              <w:pStyle w:val="TableContents"/>
              <w:bidi w:val="0"/>
              <w:spacing w:before="0" w:after="283"/>
              <w:jc w:val="left"/>
              <w:rPr/>
            </w:pPr>
            <w:r>
              <w:rPr/>
              <w:t> </w:t>
            </w:r>
          </w:p>
        </w:tc>
        <w:tc>
          <w:tcPr>
            <w:tcW w:w="75" w:type="dxa"/>
            <w:tcBorders/>
            <w:shd w:fill="CCEEFF" w:val="clear"/>
            <w:vAlign w:val="center"/>
          </w:tcPr>
          <w:p>
            <w:pPr>
              <w:pStyle w:val="TableContents"/>
              <w:bidi w:val="0"/>
              <w:spacing w:before="0" w:after="283"/>
              <w:jc w:val="left"/>
              <w:rPr/>
            </w:pPr>
            <w:r>
              <w:rPr/>
              <w:t> </w:t>
            </w:r>
          </w:p>
        </w:tc>
        <w:tc>
          <w:tcPr>
            <w:tcW w:w="158" w:type="dxa"/>
            <w:tcBorders/>
            <w:shd w:fill="CCEEFF" w:val="clear"/>
            <w:vAlign w:val="center"/>
          </w:tcPr>
          <w:p>
            <w:pPr>
              <w:pStyle w:val="TableContents"/>
              <w:bidi w:val="0"/>
              <w:spacing w:before="0" w:after="283"/>
              <w:ind w:left="0" w:right="0" w:hanging="0"/>
              <w:jc w:val="left"/>
              <w:rPr/>
            </w:pPr>
            <w:r>
              <w:rPr/>
              <w:t> </w:t>
            </w:r>
          </w:p>
        </w:tc>
        <w:tc>
          <w:tcPr>
            <w:tcW w:w="120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3,060</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4" w:type="dxa"/>
            <w:tcBorders/>
            <w:shd w:fill="CCEEFF" w:val="clear"/>
            <w:vAlign w:val="center"/>
          </w:tcPr>
          <w:p>
            <w:pPr>
              <w:pStyle w:val="TableContents"/>
              <w:bidi w:val="0"/>
              <w:spacing w:before="0" w:after="283"/>
              <w:ind w:left="0" w:right="0" w:hanging="0"/>
              <w:jc w:val="left"/>
              <w:rPr/>
            </w:pPr>
            <w:r>
              <w:rPr/>
              <w:t> </w:t>
            </w:r>
          </w:p>
        </w:tc>
        <w:tc>
          <w:tcPr>
            <w:tcW w:w="1174"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4,163</w:t>
            </w:r>
          </w:p>
        </w:tc>
        <w:tc>
          <w:tcPr>
            <w:tcW w:w="98" w:type="dxa"/>
            <w:tcBorders/>
            <w:shd w:fill="CCEEFF" w:val="clear"/>
            <w:vAlign w:val="center"/>
          </w:tcPr>
          <w:p>
            <w:pPr>
              <w:pStyle w:val="TableContents"/>
              <w:bidi w:val="0"/>
              <w:spacing w:before="0" w:after="283"/>
              <w:jc w:val="left"/>
              <w:rPr/>
            </w:pPr>
            <w:r>
              <w:rPr/>
              <w:t> </w:t>
            </w:r>
          </w:p>
        </w:tc>
        <w:tc>
          <w:tcPr>
            <w:tcW w:w="73" w:type="dxa"/>
            <w:tcBorders/>
            <w:shd w:fill="CCEEFF" w:val="clear"/>
            <w:vAlign w:val="center"/>
          </w:tcPr>
          <w:p>
            <w:pPr>
              <w:pStyle w:val="TableContents"/>
              <w:bidi w:val="0"/>
              <w:spacing w:before="0" w:after="283"/>
              <w:jc w:val="left"/>
              <w:rPr/>
            </w:pPr>
            <w:r>
              <w:rPr/>
              <w:t> </w:t>
            </w:r>
          </w:p>
        </w:tc>
        <w:tc>
          <w:tcPr>
            <w:tcW w:w="154" w:type="dxa"/>
            <w:tcBorders/>
            <w:shd w:fill="CCEEFF" w:val="clear"/>
            <w:vAlign w:val="center"/>
          </w:tcPr>
          <w:p>
            <w:pPr>
              <w:pStyle w:val="TableContents"/>
              <w:bidi w:val="0"/>
              <w:spacing w:before="0" w:after="283"/>
              <w:ind w:left="0" w:right="0" w:hanging="0"/>
              <w:jc w:val="left"/>
              <w:rPr/>
            </w:pPr>
            <w:r>
              <w:rPr/>
              <w:t> </w:t>
            </w:r>
          </w:p>
        </w:tc>
        <w:tc>
          <w:tcPr>
            <w:tcW w:w="1174"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9,322</w:t>
            </w:r>
          </w:p>
        </w:tc>
        <w:tc>
          <w:tcPr>
            <w:tcW w:w="87" w:type="dxa"/>
            <w:tcBorders/>
            <w:shd w:fill="CCEEFF" w:val="clear"/>
            <w:vAlign w:val="center"/>
          </w:tcPr>
          <w:p>
            <w:pPr>
              <w:pStyle w:val="TableContents"/>
              <w:bidi w:val="0"/>
              <w:spacing w:before="0" w:after="283"/>
              <w:jc w:val="left"/>
              <w:rPr/>
            </w:pPr>
            <w:r>
              <w:rPr/>
              <w:t> </w:t>
            </w:r>
          </w:p>
        </w:tc>
      </w:tr>
      <w:tr>
        <w:trPr/>
        <w:tc>
          <w:tcPr>
            <w:tcW w:w="4184"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Gathering, transportation and treating</w:t>
            </w:r>
          </w:p>
        </w:tc>
        <w:tc>
          <w:tcPr>
            <w:tcW w:w="60" w:type="dxa"/>
            <w:tcBorders/>
            <w:shd w:fill="FFFFFF" w:val="clear"/>
            <w:vAlign w:val="center"/>
          </w:tcPr>
          <w:p>
            <w:pPr>
              <w:pStyle w:val="TableContents"/>
              <w:bidi w:val="0"/>
              <w:spacing w:before="0" w:after="283"/>
              <w:jc w:val="left"/>
              <w:rPr/>
            </w:pPr>
            <w:r>
              <w:rPr/>
              <w:t> </w:t>
            </w:r>
          </w:p>
        </w:tc>
        <w:tc>
          <w:tcPr>
            <w:tcW w:w="158" w:type="dxa"/>
            <w:tcBorders/>
            <w:shd w:fill="FFFFFF" w:val="clear"/>
            <w:vAlign w:val="center"/>
          </w:tcPr>
          <w:p>
            <w:pPr>
              <w:pStyle w:val="TableContents"/>
              <w:bidi w:val="0"/>
              <w:spacing w:before="0" w:after="283"/>
              <w:ind w:left="0" w:right="0" w:hanging="0"/>
              <w:jc w:val="left"/>
              <w:rPr/>
            </w:pPr>
            <w:r>
              <w:rPr/>
              <w:t> </w:t>
            </w:r>
          </w:p>
        </w:tc>
        <w:tc>
          <w:tcPr>
            <w:tcW w:w="120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w:t>
            </w:r>
          </w:p>
        </w:tc>
        <w:tc>
          <w:tcPr>
            <w:tcW w:w="100" w:type="dxa"/>
            <w:tcBorders/>
            <w:shd w:fill="FFFFFF" w:val="clear"/>
            <w:vAlign w:val="center"/>
          </w:tcPr>
          <w:p>
            <w:pPr>
              <w:pStyle w:val="TableContents"/>
              <w:bidi w:val="0"/>
              <w:spacing w:before="0" w:after="283"/>
              <w:jc w:val="left"/>
              <w:rPr/>
            </w:pPr>
            <w:r>
              <w:rPr/>
              <w:t> </w:t>
            </w:r>
          </w:p>
        </w:tc>
        <w:tc>
          <w:tcPr>
            <w:tcW w:w="75" w:type="dxa"/>
            <w:tcBorders/>
            <w:shd w:fill="FFFFFF" w:val="clear"/>
            <w:vAlign w:val="center"/>
          </w:tcPr>
          <w:p>
            <w:pPr>
              <w:pStyle w:val="TableContents"/>
              <w:bidi w:val="0"/>
              <w:spacing w:before="0" w:after="283"/>
              <w:jc w:val="left"/>
              <w:rPr/>
            </w:pPr>
            <w:r>
              <w:rPr/>
              <w:t> </w:t>
            </w:r>
          </w:p>
        </w:tc>
        <w:tc>
          <w:tcPr>
            <w:tcW w:w="158" w:type="dxa"/>
            <w:tcBorders/>
            <w:shd w:fill="FFFFFF" w:val="clear"/>
            <w:vAlign w:val="center"/>
          </w:tcPr>
          <w:p>
            <w:pPr>
              <w:pStyle w:val="TableContents"/>
              <w:bidi w:val="0"/>
              <w:spacing w:before="0" w:after="283"/>
              <w:ind w:left="0" w:right="0" w:hanging="0"/>
              <w:jc w:val="left"/>
              <w:rPr/>
            </w:pPr>
            <w:r>
              <w:rPr/>
              <w:t> </w:t>
            </w:r>
          </w:p>
        </w:tc>
        <w:tc>
          <w:tcPr>
            <w:tcW w:w="120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43</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4" w:type="dxa"/>
            <w:tcBorders/>
            <w:shd w:fill="FFFFFF" w:val="clear"/>
            <w:vAlign w:val="center"/>
          </w:tcPr>
          <w:p>
            <w:pPr>
              <w:pStyle w:val="TableContents"/>
              <w:bidi w:val="0"/>
              <w:spacing w:before="0" w:after="283"/>
              <w:ind w:left="0" w:right="0" w:hanging="0"/>
              <w:jc w:val="left"/>
              <w:rPr/>
            </w:pPr>
            <w:r>
              <w:rPr/>
              <w:t> </w:t>
            </w:r>
          </w:p>
        </w:tc>
        <w:tc>
          <w:tcPr>
            <w:tcW w:w="1174"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26</w:t>
            </w:r>
          </w:p>
        </w:tc>
        <w:tc>
          <w:tcPr>
            <w:tcW w:w="98" w:type="dxa"/>
            <w:tcBorders/>
            <w:shd w:fill="FFFFFF" w:val="clear"/>
            <w:vAlign w:val="center"/>
          </w:tcPr>
          <w:p>
            <w:pPr>
              <w:pStyle w:val="TableContents"/>
              <w:bidi w:val="0"/>
              <w:spacing w:before="0" w:after="283"/>
              <w:jc w:val="left"/>
              <w:rPr/>
            </w:pPr>
            <w:r>
              <w:rPr/>
              <w:t> </w:t>
            </w:r>
          </w:p>
        </w:tc>
        <w:tc>
          <w:tcPr>
            <w:tcW w:w="73" w:type="dxa"/>
            <w:tcBorders/>
            <w:shd w:fill="FFFFFF" w:val="clear"/>
            <w:vAlign w:val="center"/>
          </w:tcPr>
          <w:p>
            <w:pPr>
              <w:pStyle w:val="TableContents"/>
              <w:bidi w:val="0"/>
              <w:spacing w:before="0" w:after="283"/>
              <w:jc w:val="left"/>
              <w:rPr/>
            </w:pPr>
            <w:r>
              <w:rPr/>
              <w:t> </w:t>
            </w:r>
          </w:p>
        </w:tc>
        <w:tc>
          <w:tcPr>
            <w:tcW w:w="154" w:type="dxa"/>
            <w:tcBorders/>
            <w:shd w:fill="FFFFFF" w:val="clear"/>
            <w:vAlign w:val="center"/>
          </w:tcPr>
          <w:p>
            <w:pPr>
              <w:pStyle w:val="TableContents"/>
              <w:bidi w:val="0"/>
              <w:spacing w:before="0" w:after="283"/>
              <w:ind w:left="0" w:right="0" w:hanging="0"/>
              <w:jc w:val="left"/>
              <w:rPr/>
            </w:pPr>
            <w:r>
              <w:rPr/>
              <w:t> </w:t>
            </w:r>
          </w:p>
        </w:tc>
        <w:tc>
          <w:tcPr>
            <w:tcW w:w="1174"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170</w:t>
            </w:r>
          </w:p>
        </w:tc>
        <w:tc>
          <w:tcPr>
            <w:tcW w:w="87" w:type="dxa"/>
            <w:tcBorders/>
            <w:shd w:fill="FFFFFF" w:val="clear"/>
            <w:vAlign w:val="center"/>
          </w:tcPr>
          <w:p>
            <w:pPr>
              <w:pStyle w:val="TableContents"/>
              <w:bidi w:val="0"/>
              <w:spacing w:before="0" w:after="283"/>
              <w:jc w:val="left"/>
              <w:rPr/>
            </w:pPr>
            <w:r>
              <w:rPr/>
              <w:t> </w:t>
            </w:r>
          </w:p>
        </w:tc>
      </w:tr>
      <w:tr>
        <w:trPr/>
        <w:tc>
          <w:tcPr>
            <w:tcW w:w="4184"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Production taxes</w:t>
            </w:r>
          </w:p>
        </w:tc>
        <w:tc>
          <w:tcPr>
            <w:tcW w:w="60" w:type="dxa"/>
            <w:tcBorders/>
            <w:shd w:fill="CCEEFF" w:val="clear"/>
            <w:vAlign w:val="center"/>
          </w:tcPr>
          <w:p>
            <w:pPr>
              <w:pStyle w:val="TableContents"/>
              <w:bidi w:val="0"/>
              <w:spacing w:before="0" w:after="283"/>
              <w:jc w:val="left"/>
              <w:rPr/>
            </w:pPr>
            <w:r>
              <w:rPr/>
              <w:t> </w:t>
            </w:r>
          </w:p>
        </w:tc>
        <w:tc>
          <w:tcPr>
            <w:tcW w:w="158" w:type="dxa"/>
            <w:tcBorders/>
            <w:shd w:fill="CCEEFF" w:val="clear"/>
            <w:vAlign w:val="center"/>
          </w:tcPr>
          <w:p>
            <w:pPr>
              <w:pStyle w:val="TableContents"/>
              <w:bidi w:val="0"/>
              <w:spacing w:before="0" w:after="283"/>
              <w:ind w:left="0" w:right="0" w:hanging="0"/>
              <w:jc w:val="left"/>
              <w:rPr/>
            </w:pPr>
            <w:r>
              <w:rPr/>
              <w:t> </w:t>
            </w:r>
          </w:p>
        </w:tc>
        <w:tc>
          <w:tcPr>
            <w:tcW w:w="120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136</w:t>
            </w:r>
          </w:p>
        </w:tc>
        <w:tc>
          <w:tcPr>
            <w:tcW w:w="100" w:type="dxa"/>
            <w:tcBorders/>
            <w:shd w:fill="CCEEFF" w:val="clear"/>
            <w:vAlign w:val="center"/>
          </w:tcPr>
          <w:p>
            <w:pPr>
              <w:pStyle w:val="TableContents"/>
              <w:bidi w:val="0"/>
              <w:spacing w:before="0" w:after="283"/>
              <w:jc w:val="left"/>
              <w:rPr/>
            </w:pPr>
            <w:r>
              <w:rPr/>
              <w:t> </w:t>
            </w:r>
          </w:p>
        </w:tc>
        <w:tc>
          <w:tcPr>
            <w:tcW w:w="75" w:type="dxa"/>
            <w:tcBorders/>
            <w:shd w:fill="CCEEFF" w:val="clear"/>
            <w:vAlign w:val="center"/>
          </w:tcPr>
          <w:p>
            <w:pPr>
              <w:pStyle w:val="TableContents"/>
              <w:bidi w:val="0"/>
              <w:spacing w:before="0" w:after="283"/>
              <w:jc w:val="left"/>
              <w:rPr/>
            </w:pPr>
            <w:r>
              <w:rPr/>
              <w:t> </w:t>
            </w:r>
          </w:p>
        </w:tc>
        <w:tc>
          <w:tcPr>
            <w:tcW w:w="158" w:type="dxa"/>
            <w:tcBorders/>
            <w:shd w:fill="CCEEFF" w:val="clear"/>
            <w:vAlign w:val="center"/>
          </w:tcPr>
          <w:p>
            <w:pPr>
              <w:pStyle w:val="TableContents"/>
              <w:bidi w:val="0"/>
              <w:spacing w:before="0" w:after="283"/>
              <w:ind w:left="0" w:right="0" w:hanging="0"/>
              <w:jc w:val="left"/>
              <w:rPr/>
            </w:pPr>
            <w:r>
              <w:rPr/>
              <w:t> </w:t>
            </w:r>
          </w:p>
        </w:tc>
        <w:tc>
          <w:tcPr>
            <w:tcW w:w="120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298</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4" w:type="dxa"/>
            <w:tcBorders/>
            <w:shd w:fill="CCEEFF" w:val="clear"/>
            <w:vAlign w:val="center"/>
          </w:tcPr>
          <w:p>
            <w:pPr>
              <w:pStyle w:val="TableContents"/>
              <w:bidi w:val="0"/>
              <w:spacing w:before="0" w:after="283"/>
              <w:ind w:left="0" w:right="0" w:hanging="0"/>
              <w:jc w:val="left"/>
              <w:rPr/>
            </w:pPr>
            <w:r>
              <w:rPr/>
              <w:t> </w:t>
            </w:r>
          </w:p>
        </w:tc>
        <w:tc>
          <w:tcPr>
            <w:tcW w:w="1174"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432</w:t>
            </w:r>
          </w:p>
        </w:tc>
        <w:tc>
          <w:tcPr>
            <w:tcW w:w="98" w:type="dxa"/>
            <w:tcBorders/>
            <w:shd w:fill="CCEEFF" w:val="clear"/>
            <w:vAlign w:val="center"/>
          </w:tcPr>
          <w:p>
            <w:pPr>
              <w:pStyle w:val="TableContents"/>
              <w:bidi w:val="0"/>
              <w:spacing w:before="0" w:after="283"/>
              <w:jc w:val="left"/>
              <w:rPr/>
            </w:pPr>
            <w:r>
              <w:rPr/>
              <w:t> </w:t>
            </w:r>
          </w:p>
        </w:tc>
        <w:tc>
          <w:tcPr>
            <w:tcW w:w="73" w:type="dxa"/>
            <w:tcBorders/>
            <w:shd w:fill="CCEEFF" w:val="clear"/>
            <w:vAlign w:val="center"/>
          </w:tcPr>
          <w:p>
            <w:pPr>
              <w:pStyle w:val="TableContents"/>
              <w:bidi w:val="0"/>
              <w:spacing w:before="0" w:after="283"/>
              <w:jc w:val="left"/>
              <w:rPr/>
            </w:pPr>
            <w:r>
              <w:rPr/>
              <w:t> </w:t>
            </w:r>
          </w:p>
        </w:tc>
        <w:tc>
          <w:tcPr>
            <w:tcW w:w="154" w:type="dxa"/>
            <w:tcBorders/>
            <w:shd w:fill="CCEEFF" w:val="clear"/>
            <w:vAlign w:val="center"/>
          </w:tcPr>
          <w:p>
            <w:pPr>
              <w:pStyle w:val="TableContents"/>
              <w:bidi w:val="0"/>
              <w:spacing w:before="0" w:after="283"/>
              <w:ind w:left="0" w:right="0" w:hanging="0"/>
              <w:jc w:val="left"/>
              <w:rPr/>
            </w:pPr>
            <w:r>
              <w:rPr/>
              <w:t> </w:t>
            </w:r>
          </w:p>
        </w:tc>
        <w:tc>
          <w:tcPr>
            <w:tcW w:w="1174"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1,008</w:t>
            </w:r>
          </w:p>
        </w:tc>
        <w:tc>
          <w:tcPr>
            <w:tcW w:w="87" w:type="dxa"/>
            <w:tcBorders/>
            <w:shd w:fill="CCEEFF" w:val="clear"/>
            <w:vAlign w:val="center"/>
          </w:tcPr>
          <w:p>
            <w:pPr>
              <w:pStyle w:val="TableContents"/>
              <w:bidi w:val="0"/>
              <w:spacing w:before="0" w:after="283"/>
              <w:jc w:val="left"/>
              <w:rPr/>
            </w:pPr>
            <w:r>
              <w:rPr/>
              <w:t> </w:t>
            </w:r>
          </w:p>
        </w:tc>
      </w:tr>
      <w:tr>
        <w:trPr/>
        <w:tc>
          <w:tcPr>
            <w:tcW w:w="4184"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Depreciation, depletion, accretion and amortization</w:t>
            </w:r>
          </w:p>
        </w:tc>
        <w:tc>
          <w:tcPr>
            <w:tcW w:w="60" w:type="dxa"/>
            <w:tcBorders/>
            <w:shd w:fill="FFFFFF" w:val="clear"/>
            <w:vAlign w:val="center"/>
          </w:tcPr>
          <w:p>
            <w:pPr>
              <w:pStyle w:val="TableContents"/>
              <w:bidi w:val="0"/>
              <w:spacing w:before="0" w:after="283"/>
              <w:jc w:val="left"/>
              <w:rPr/>
            </w:pPr>
            <w:r>
              <w:rPr/>
              <w:t> </w:t>
            </w:r>
          </w:p>
        </w:tc>
        <w:tc>
          <w:tcPr>
            <w:tcW w:w="158" w:type="dxa"/>
            <w:tcBorders/>
            <w:shd w:fill="FFFFFF" w:val="clear"/>
            <w:vAlign w:val="center"/>
          </w:tcPr>
          <w:p>
            <w:pPr>
              <w:pStyle w:val="TableContents"/>
              <w:bidi w:val="0"/>
              <w:spacing w:before="0" w:after="283"/>
              <w:ind w:left="0" w:right="0" w:hanging="0"/>
              <w:jc w:val="left"/>
              <w:rPr/>
            </w:pPr>
            <w:r>
              <w:rPr/>
              <w:t> </w:t>
            </w:r>
          </w:p>
        </w:tc>
        <w:tc>
          <w:tcPr>
            <w:tcW w:w="120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816</w:t>
            </w:r>
          </w:p>
        </w:tc>
        <w:tc>
          <w:tcPr>
            <w:tcW w:w="100" w:type="dxa"/>
            <w:tcBorders/>
            <w:shd w:fill="FFFFFF" w:val="clear"/>
            <w:vAlign w:val="center"/>
          </w:tcPr>
          <w:p>
            <w:pPr>
              <w:pStyle w:val="TableContents"/>
              <w:bidi w:val="0"/>
              <w:spacing w:before="0" w:after="283"/>
              <w:jc w:val="left"/>
              <w:rPr/>
            </w:pPr>
            <w:r>
              <w:rPr/>
              <w:t> </w:t>
            </w:r>
          </w:p>
        </w:tc>
        <w:tc>
          <w:tcPr>
            <w:tcW w:w="75" w:type="dxa"/>
            <w:tcBorders/>
            <w:shd w:fill="FFFFFF" w:val="clear"/>
            <w:vAlign w:val="center"/>
          </w:tcPr>
          <w:p>
            <w:pPr>
              <w:pStyle w:val="TableContents"/>
              <w:bidi w:val="0"/>
              <w:spacing w:before="0" w:after="283"/>
              <w:jc w:val="left"/>
              <w:rPr/>
            </w:pPr>
            <w:r>
              <w:rPr/>
              <w:t> </w:t>
            </w:r>
          </w:p>
        </w:tc>
        <w:tc>
          <w:tcPr>
            <w:tcW w:w="158" w:type="dxa"/>
            <w:tcBorders/>
            <w:shd w:fill="FFFFFF" w:val="clear"/>
            <w:vAlign w:val="center"/>
          </w:tcPr>
          <w:p>
            <w:pPr>
              <w:pStyle w:val="TableContents"/>
              <w:bidi w:val="0"/>
              <w:spacing w:before="0" w:after="283"/>
              <w:ind w:left="0" w:right="0" w:hanging="0"/>
              <w:jc w:val="left"/>
              <w:rPr/>
            </w:pPr>
            <w:r>
              <w:rPr/>
              <w:t> </w:t>
            </w:r>
          </w:p>
        </w:tc>
        <w:tc>
          <w:tcPr>
            <w:tcW w:w="120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2,032</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4" w:type="dxa"/>
            <w:tcBorders/>
            <w:shd w:fill="FFFFFF" w:val="clear"/>
            <w:vAlign w:val="center"/>
          </w:tcPr>
          <w:p>
            <w:pPr>
              <w:pStyle w:val="TableContents"/>
              <w:bidi w:val="0"/>
              <w:spacing w:before="0" w:after="283"/>
              <w:ind w:left="0" w:right="0" w:hanging="0"/>
              <w:jc w:val="left"/>
              <w:rPr/>
            </w:pPr>
            <w:r>
              <w:rPr/>
              <w:t> </w:t>
            </w:r>
          </w:p>
        </w:tc>
        <w:tc>
          <w:tcPr>
            <w:tcW w:w="1174"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3,053</w:t>
            </w:r>
          </w:p>
        </w:tc>
        <w:tc>
          <w:tcPr>
            <w:tcW w:w="98" w:type="dxa"/>
            <w:tcBorders/>
            <w:shd w:fill="FFFFFF" w:val="clear"/>
            <w:vAlign w:val="center"/>
          </w:tcPr>
          <w:p>
            <w:pPr>
              <w:pStyle w:val="TableContents"/>
              <w:bidi w:val="0"/>
              <w:spacing w:before="0" w:after="283"/>
              <w:jc w:val="left"/>
              <w:rPr/>
            </w:pPr>
            <w:r>
              <w:rPr/>
              <w:t> </w:t>
            </w:r>
          </w:p>
        </w:tc>
        <w:tc>
          <w:tcPr>
            <w:tcW w:w="73" w:type="dxa"/>
            <w:tcBorders/>
            <w:shd w:fill="FFFFFF" w:val="clear"/>
            <w:vAlign w:val="center"/>
          </w:tcPr>
          <w:p>
            <w:pPr>
              <w:pStyle w:val="TableContents"/>
              <w:bidi w:val="0"/>
              <w:spacing w:before="0" w:after="283"/>
              <w:jc w:val="left"/>
              <w:rPr/>
            </w:pPr>
            <w:r>
              <w:rPr/>
              <w:t> </w:t>
            </w:r>
          </w:p>
        </w:tc>
        <w:tc>
          <w:tcPr>
            <w:tcW w:w="154" w:type="dxa"/>
            <w:tcBorders/>
            <w:shd w:fill="FFFFFF" w:val="clear"/>
            <w:vAlign w:val="center"/>
          </w:tcPr>
          <w:p>
            <w:pPr>
              <w:pStyle w:val="TableContents"/>
              <w:bidi w:val="0"/>
              <w:spacing w:before="0" w:after="283"/>
              <w:ind w:left="0" w:right="0" w:hanging="0"/>
              <w:jc w:val="left"/>
              <w:rPr/>
            </w:pPr>
            <w:r>
              <w:rPr/>
              <w:t> </w:t>
            </w:r>
          </w:p>
        </w:tc>
        <w:tc>
          <w:tcPr>
            <w:tcW w:w="1174"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6,392</w:t>
            </w:r>
          </w:p>
        </w:tc>
        <w:tc>
          <w:tcPr>
            <w:tcW w:w="87" w:type="dxa"/>
            <w:tcBorders/>
            <w:shd w:fill="FFFFFF" w:val="clear"/>
            <w:vAlign w:val="center"/>
          </w:tcPr>
          <w:p>
            <w:pPr>
              <w:pStyle w:val="TableContents"/>
              <w:bidi w:val="0"/>
              <w:spacing w:before="0" w:after="283"/>
              <w:jc w:val="left"/>
              <w:rPr/>
            </w:pPr>
            <w:r>
              <w:rPr/>
              <w:t> </w:t>
            </w:r>
          </w:p>
        </w:tc>
      </w:tr>
      <w:tr>
        <w:trPr/>
        <w:tc>
          <w:tcPr>
            <w:tcW w:w="4184"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Impairment of oil and natural gas properties</w:t>
            </w:r>
          </w:p>
        </w:tc>
        <w:tc>
          <w:tcPr>
            <w:tcW w:w="60" w:type="dxa"/>
            <w:tcBorders/>
            <w:shd w:fill="CCEEFF" w:val="clear"/>
            <w:vAlign w:val="center"/>
          </w:tcPr>
          <w:p>
            <w:pPr>
              <w:pStyle w:val="TableContents"/>
              <w:bidi w:val="0"/>
              <w:spacing w:before="0" w:after="283"/>
              <w:jc w:val="left"/>
              <w:rPr/>
            </w:pPr>
            <w:r>
              <w:rPr/>
              <w:t> </w:t>
            </w:r>
          </w:p>
        </w:tc>
        <w:tc>
          <w:tcPr>
            <w:tcW w:w="158" w:type="dxa"/>
            <w:tcBorders/>
            <w:shd w:fill="CCEEFF" w:val="clear"/>
            <w:vAlign w:val="center"/>
          </w:tcPr>
          <w:p>
            <w:pPr>
              <w:pStyle w:val="TableContents"/>
              <w:bidi w:val="0"/>
              <w:spacing w:before="0" w:after="283"/>
              <w:ind w:left="0" w:right="0" w:hanging="0"/>
              <w:jc w:val="left"/>
              <w:rPr/>
            </w:pPr>
            <w:r>
              <w:rPr/>
              <w:t> </w:t>
            </w:r>
          </w:p>
        </w:tc>
        <w:tc>
          <w:tcPr>
            <w:tcW w:w="120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869</w:t>
            </w:r>
          </w:p>
        </w:tc>
        <w:tc>
          <w:tcPr>
            <w:tcW w:w="100" w:type="dxa"/>
            <w:tcBorders/>
            <w:shd w:fill="CCEEFF" w:val="clear"/>
            <w:vAlign w:val="center"/>
          </w:tcPr>
          <w:p>
            <w:pPr>
              <w:pStyle w:val="TableContents"/>
              <w:bidi w:val="0"/>
              <w:spacing w:before="0" w:after="283"/>
              <w:jc w:val="left"/>
              <w:rPr/>
            </w:pPr>
            <w:r>
              <w:rPr/>
              <w:t> </w:t>
            </w:r>
          </w:p>
        </w:tc>
        <w:tc>
          <w:tcPr>
            <w:tcW w:w="75" w:type="dxa"/>
            <w:tcBorders/>
            <w:shd w:fill="CCEEFF" w:val="clear"/>
            <w:vAlign w:val="center"/>
          </w:tcPr>
          <w:p>
            <w:pPr>
              <w:pStyle w:val="TableContents"/>
              <w:bidi w:val="0"/>
              <w:spacing w:before="0" w:after="283"/>
              <w:jc w:val="left"/>
              <w:rPr/>
            </w:pPr>
            <w:r>
              <w:rPr/>
              <w:t> </w:t>
            </w:r>
          </w:p>
        </w:tc>
        <w:tc>
          <w:tcPr>
            <w:tcW w:w="158" w:type="dxa"/>
            <w:tcBorders/>
            <w:shd w:fill="CCEEFF" w:val="clear"/>
            <w:vAlign w:val="center"/>
          </w:tcPr>
          <w:p>
            <w:pPr>
              <w:pStyle w:val="TableContents"/>
              <w:bidi w:val="0"/>
              <w:spacing w:before="0" w:after="283"/>
              <w:ind w:left="0" w:right="0" w:hanging="0"/>
              <w:jc w:val="left"/>
              <w:rPr/>
            </w:pPr>
            <w:r>
              <w:rPr/>
              <w:t> </w:t>
            </w:r>
          </w:p>
        </w:tc>
        <w:tc>
          <w:tcPr>
            <w:tcW w:w="120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1,424</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4" w:type="dxa"/>
            <w:tcBorders/>
            <w:shd w:fill="CCEEFF" w:val="clear"/>
            <w:vAlign w:val="center"/>
          </w:tcPr>
          <w:p>
            <w:pPr>
              <w:pStyle w:val="TableContents"/>
              <w:bidi w:val="0"/>
              <w:spacing w:before="0" w:after="283"/>
              <w:ind w:left="0" w:right="0" w:hanging="0"/>
              <w:jc w:val="left"/>
              <w:rPr/>
            </w:pPr>
            <w:r>
              <w:rPr/>
              <w:t> </w:t>
            </w:r>
          </w:p>
        </w:tc>
        <w:tc>
          <w:tcPr>
            <w:tcW w:w="1174"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3,628</w:t>
            </w:r>
          </w:p>
        </w:tc>
        <w:tc>
          <w:tcPr>
            <w:tcW w:w="98" w:type="dxa"/>
            <w:tcBorders/>
            <w:shd w:fill="CCEEFF" w:val="clear"/>
            <w:vAlign w:val="center"/>
          </w:tcPr>
          <w:p>
            <w:pPr>
              <w:pStyle w:val="TableContents"/>
              <w:bidi w:val="0"/>
              <w:spacing w:before="0" w:after="283"/>
              <w:jc w:val="left"/>
              <w:rPr/>
            </w:pPr>
            <w:r>
              <w:rPr/>
              <w:t> </w:t>
            </w:r>
          </w:p>
        </w:tc>
        <w:tc>
          <w:tcPr>
            <w:tcW w:w="73" w:type="dxa"/>
            <w:tcBorders/>
            <w:shd w:fill="CCEEFF" w:val="clear"/>
            <w:vAlign w:val="center"/>
          </w:tcPr>
          <w:p>
            <w:pPr>
              <w:pStyle w:val="TableContents"/>
              <w:bidi w:val="0"/>
              <w:spacing w:before="0" w:after="283"/>
              <w:jc w:val="left"/>
              <w:rPr/>
            </w:pPr>
            <w:r>
              <w:rPr/>
              <w:t> </w:t>
            </w:r>
          </w:p>
        </w:tc>
        <w:tc>
          <w:tcPr>
            <w:tcW w:w="154" w:type="dxa"/>
            <w:tcBorders/>
            <w:shd w:fill="CCEEFF" w:val="clear"/>
            <w:vAlign w:val="center"/>
          </w:tcPr>
          <w:p>
            <w:pPr>
              <w:pStyle w:val="TableContents"/>
              <w:bidi w:val="0"/>
              <w:spacing w:before="0" w:after="283"/>
              <w:ind w:left="0" w:right="0" w:hanging="0"/>
              <w:jc w:val="left"/>
              <w:rPr/>
            </w:pPr>
            <w:r>
              <w:rPr/>
              <w:t> </w:t>
            </w:r>
          </w:p>
        </w:tc>
        <w:tc>
          <w:tcPr>
            <w:tcW w:w="1174"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6,843</w:t>
            </w:r>
          </w:p>
        </w:tc>
        <w:tc>
          <w:tcPr>
            <w:tcW w:w="87" w:type="dxa"/>
            <w:tcBorders/>
            <w:shd w:fill="CCEEFF" w:val="clear"/>
            <w:vAlign w:val="center"/>
          </w:tcPr>
          <w:p>
            <w:pPr>
              <w:pStyle w:val="TableContents"/>
              <w:bidi w:val="0"/>
              <w:spacing w:before="0" w:after="283"/>
              <w:jc w:val="left"/>
              <w:rPr/>
            </w:pPr>
            <w:r>
              <w:rPr/>
              <w:t> </w:t>
            </w:r>
          </w:p>
        </w:tc>
      </w:tr>
      <w:tr>
        <w:trPr/>
        <w:tc>
          <w:tcPr>
            <w:tcW w:w="4184" w:type="dxa"/>
            <w:tcBorders/>
            <w:shd w:fill="FFFFFF" w:val="clear"/>
            <w:vAlign w:val="center"/>
          </w:tcPr>
          <w:p>
            <w:pPr>
              <w:pStyle w:val="TableContents"/>
              <w:bidi w:val="0"/>
              <w:spacing w:before="0" w:after="0"/>
              <w:ind w:left="0" w:right="0" w:firstLine="180"/>
              <w:jc w:val="left"/>
              <w:rPr>
                <w:rFonts w:ascii="Times New Roman;Times;serif" w:hAnsi="Times New Roman;Times;serif"/>
                <w:sz w:val="20"/>
              </w:rPr>
            </w:pPr>
            <w:r>
              <w:rPr>
                <w:rFonts w:ascii="Times New Roman;Times;serif" w:hAnsi="Times New Roman;Times;serif"/>
                <w:sz w:val="20"/>
              </w:rPr>
              <w:t>Exploration Expense</w:t>
            </w:r>
          </w:p>
        </w:tc>
        <w:tc>
          <w:tcPr>
            <w:tcW w:w="60" w:type="dxa"/>
            <w:tcBorders/>
            <w:shd w:fill="FFFFFF" w:val="clear"/>
            <w:vAlign w:val="center"/>
          </w:tcPr>
          <w:p>
            <w:pPr>
              <w:pStyle w:val="TableContents"/>
              <w:bidi w:val="0"/>
              <w:spacing w:before="0" w:after="283"/>
              <w:jc w:val="left"/>
              <w:rPr/>
            </w:pPr>
            <w:r>
              <w:rPr/>
              <w:t> </w:t>
            </w:r>
          </w:p>
        </w:tc>
        <w:tc>
          <w:tcPr>
            <w:tcW w:w="158" w:type="dxa"/>
            <w:tcBorders/>
            <w:shd w:fill="FFFFFF" w:val="clear"/>
            <w:vAlign w:val="center"/>
          </w:tcPr>
          <w:p>
            <w:pPr>
              <w:pStyle w:val="TableContents"/>
              <w:bidi w:val="0"/>
              <w:spacing w:before="0" w:after="283"/>
              <w:jc w:val="left"/>
              <w:rPr/>
            </w:pPr>
            <w:r>
              <w:rPr/>
              <w:t> </w:t>
            </w:r>
          </w:p>
        </w:tc>
        <w:tc>
          <w:tcPr>
            <w:tcW w:w="1208"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128</w:t>
            </w:r>
          </w:p>
        </w:tc>
        <w:tc>
          <w:tcPr>
            <w:tcW w:w="100" w:type="dxa"/>
            <w:tcBorders/>
            <w:shd w:fill="FFFFFF" w:val="clear"/>
            <w:vAlign w:val="center"/>
          </w:tcPr>
          <w:p>
            <w:pPr>
              <w:pStyle w:val="TableContents"/>
              <w:bidi w:val="0"/>
              <w:spacing w:before="0" w:after="283"/>
              <w:jc w:val="left"/>
              <w:rPr/>
            </w:pPr>
            <w:r>
              <w:rPr/>
              <w:t> </w:t>
            </w:r>
          </w:p>
        </w:tc>
        <w:tc>
          <w:tcPr>
            <w:tcW w:w="75" w:type="dxa"/>
            <w:tcBorders/>
            <w:shd w:fill="FFFFFF" w:val="clear"/>
            <w:vAlign w:val="center"/>
          </w:tcPr>
          <w:p>
            <w:pPr>
              <w:pStyle w:val="TableContents"/>
              <w:bidi w:val="0"/>
              <w:spacing w:before="0" w:after="283"/>
              <w:jc w:val="left"/>
              <w:rPr/>
            </w:pPr>
            <w:r>
              <w:rPr/>
              <w:t> </w:t>
            </w:r>
          </w:p>
        </w:tc>
        <w:tc>
          <w:tcPr>
            <w:tcW w:w="158" w:type="dxa"/>
            <w:tcBorders/>
            <w:shd w:fill="FFFFFF" w:val="clear"/>
            <w:vAlign w:val="center"/>
          </w:tcPr>
          <w:p>
            <w:pPr>
              <w:pStyle w:val="TableContents"/>
              <w:bidi w:val="0"/>
              <w:spacing w:before="0" w:after="283"/>
              <w:jc w:val="left"/>
              <w:rPr/>
            </w:pPr>
            <w:r>
              <w:rPr/>
              <w:t> </w:t>
            </w:r>
          </w:p>
        </w:tc>
        <w:tc>
          <w:tcPr>
            <w:tcW w:w="1208"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4" w:type="dxa"/>
            <w:tcBorders/>
            <w:shd w:fill="FFFFFF" w:val="clear"/>
            <w:vAlign w:val="center"/>
          </w:tcPr>
          <w:p>
            <w:pPr>
              <w:pStyle w:val="TableContents"/>
              <w:bidi w:val="0"/>
              <w:spacing w:before="0" w:after="283"/>
              <w:jc w:val="left"/>
              <w:rPr/>
            </w:pPr>
            <w:r>
              <w:rPr/>
              <w:t> </w:t>
            </w:r>
          </w:p>
        </w:tc>
        <w:tc>
          <w:tcPr>
            <w:tcW w:w="1174"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174</w:t>
            </w:r>
          </w:p>
        </w:tc>
        <w:tc>
          <w:tcPr>
            <w:tcW w:w="98" w:type="dxa"/>
            <w:tcBorders/>
            <w:shd w:fill="FFFFFF" w:val="clear"/>
            <w:vAlign w:val="center"/>
          </w:tcPr>
          <w:p>
            <w:pPr>
              <w:pStyle w:val="TableContents"/>
              <w:bidi w:val="0"/>
              <w:spacing w:before="0" w:after="283"/>
              <w:jc w:val="left"/>
              <w:rPr/>
            </w:pPr>
            <w:r>
              <w:rPr/>
              <w:t> </w:t>
            </w:r>
          </w:p>
        </w:tc>
        <w:tc>
          <w:tcPr>
            <w:tcW w:w="73" w:type="dxa"/>
            <w:tcBorders/>
            <w:shd w:fill="FFFFFF" w:val="clear"/>
            <w:vAlign w:val="center"/>
          </w:tcPr>
          <w:p>
            <w:pPr>
              <w:pStyle w:val="TableContents"/>
              <w:bidi w:val="0"/>
              <w:spacing w:before="0" w:after="283"/>
              <w:jc w:val="left"/>
              <w:rPr/>
            </w:pPr>
            <w:r>
              <w:rPr/>
              <w:t> </w:t>
            </w:r>
          </w:p>
        </w:tc>
        <w:tc>
          <w:tcPr>
            <w:tcW w:w="154" w:type="dxa"/>
            <w:tcBorders/>
            <w:shd w:fill="FFFFFF" w:val="clear"/>
            <w:vAlign w:val="center"/>
          </w:tcPr>
          <w:p>
            <w:pPr>
              <w:pStyle w:val="TableContents"/>
              <w:bidi w:val="0"/>
              <w:spacing w:before="0" w:after="283"/>
              <w:jc w:val="left"/>
              <w:rPr/>
            </w:pPr>
            <w:r>
              <w:rPr/>
              <w:t> </w:t>
            </w:r>
          </w:p>
        </w:tc>
        <w:tc>
          <w:tcPr>
            <w:tcW w:w="1174"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87" w:type="dxa"/>
            <w:tcBorders/>
            <w:shd w:fill="FFFFFF" w:val="clear"/>
            <w:vAlign w:val="center"/>
          </w:tcPr>
          <w:p>
            <w:pPr>
              <w:pStyle w:val="TableContents"/>
              <w:bidi w:val="0"/>
              <w:spacing w:before="0" w:after="283"/>
              <w:jc w:val="left"/>
              <w:rPr/>
            </w:pPr>
            <w:r>
              <w:rPr/>
              <w:t> </w:t>
            </w:r>
          </w:p>
        </w:tc>
      </w:tr>
      <w:tr>
        <w:trPr/>
        <w:tc>
          <w:tcPr>
            <w:tcW w:w="4184"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General and administrative expenses</w:t>
            </w:r>
          </w:p>
        </w:tc>
        <w:tc>
          <w:tcPr>
            <w:tcW w:w="60" w:type="dxa"/>
            <w:tcBorders/>
            <w:shd w:fill="CCEEFF" w:val="clear"/>
            <w:vAlign w:val="center"/>
          </w:tcPr>
          <w:p>
            <w:pPr>
              <w:pStyle w:val="TableContents"/>
              <w:bidi w:val="0"/>
              <w:spacing w:before="0" w:after="283"/>
              <w:jc w:val="left"/>
              <w:rPr/>
            </w:pPr>
            <w:r>
              <w:rPr/>
              <w:t> </w:t>
            </w:r>
          </w:p>
        </w:tc>
        <w:tc>
          <w:tcPr>
            <w:tcW w:w="158" w:type="dxa"/>
            <w:tcBorders/>
            <w:shd w:fill="CCEEFF" w:val="clear"/>
            <w:vAlign w:val="center"/>
          </w:tcPr>
          <w:p>
            <w:pPr>
              <w:pStyle w:val="TableContents"/>
              <w:bidi w:val="0"/>
              <w:spacing w:before="0" w:after="283"/>
              <w:ind w:left="0" w:right="0" w:hanging="0"/>
              <w:jc w:val="left"/>
              <w:rPr/>
            </w:pPr>
            <w:r>
              <w:rPr/>
              <w:t> </w:t>
            </w:r>
          </w:p>
        </w:tc>
        <w:tc>
          <w:tcPr>
            <w:tcW w:w="120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2,113</w:t>
            </w:r>
          </w:p>
        </w:tc>
        <w:tc>
          <w:tcPr>
            <w:tcW w:w="100" w:type="dxa"/>
            <w:tcBorders/>
            <w:shd w:fill="CCEEFF" w:val="clear"/>
            <w:vAlign w:val="center"/>
          </w:tcPr>
          <w:p>
            <w:pPr>
              <w:pStyle w:val="TableContents"/>
              <w:bidi w:val="0"/>
              <w:spacing w:before="0" w:after="283"/>
              <w:jc w:val="left"/>
              <w:rPr/>
            </w:pPr>
            <w:r>
              <w:rPr/>
              <w:t> </w:t>
            </w:r>
          </w:p>
        </w:tc>
        <w:tc>
          <w:tcPr>
            <w:tcW w:w="75" w:type="dxa"/>
            <w:tcBorders/>
            <w:shd w:fill="CCEEFF" w:val="clear"/>
            <w:vAlign w:val="center"/>
          </w:tcPr>
          <w:p>
            <w:pPr>
              <w:pStyle w:val="TableContents"/>
              <w:bidi w:val="0"/>
              <w:spacing w:before="0" w:after="283"/>
              <w:jc w:val="left"/>
              <w:rPr/>
            </w:pPr>
            <w:r>
              <w:rPr/>
              <w:t> </w:t>
            </w:r>
          </w:p>
        </w:tc>
        <w:tc>
          <w:tcPr>
            <w:tcW w:w="158" w:type="dxa"/>
            <w:tcBorders/>
            <w:shd w:fill="CCEEFF" w:val="clear"/>
            <w:vAlign w:val="center"/>
          </w:tcPr>
          <w:p>
            <w:pPr>
              <w:pStyle w:val="TableContents"/>
              <w:bidi w:val="0"/>
              <w:spacing w:before="0" w:after="283"/>
              <w:ind w:left="0" w:right="0" w:hanging="0"/>
              <w:jc w:val="left"/>
              <w:rPr/>
            </w:pPr>
            <w:r>
              <w:rPr/>
              <w:t> </w:t>
            </w:r>
          </w:p>
        </w:tc>
        <w:tc>
          <w:tcPr>
            <w:tcW w:w="120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2,252</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4" w:type="dxa"/>
            <w:tcBorders/>
            <w:shd w:fill="CCEEFF" w:val="clear"/>
            <w:vAlign w:val="center"/>
          </w:tcPr>
          <w:p>
            <w:pPr>
              <w:pStyle w:val="TableContents"/>
              <w:bidi w:val="0"/>
              <w:spacing w:before="0" w:after="283"/>
              <w:ind w:left="0" w:right="0" w:hanging="0"/>
              <w:jc w:val="left"/>
              <w:rPr/>
            </w:pPr>
            <w:r>
              <w:rPr/>
              <w:t> </w:t>
            </w:r>
          </w:p>
        </w:tc>
        <w:tc>
          <w:tcPr>
            <w:tcW w:w="1174"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6,754</w:t>
            </w:r>
          </w:p>
        </w:tc>
        <w:tc>
          <w:tcPr>
            <w:tcW w:w="98" w:type="dxa"/>
            <w:tcBorders/>
            <w:shd w:fill="CCEEFF" w:val="clear"/>
            <w:vAlign w:val="center"/>
          </w:tcPr>
          <w:p>
            <w:pPr>
              <w:pStyle w:val="TableContents"/>
              <w:bidi w:val="0"/>
              <w:spacing w:before="0" w:after="283"/>
              <w:jc w:val="left"/>
              <w:rPr/>
            </w:pPr>
            <w:r>
              <w:rPr/>
              <w:t> </w:t>
            </w:r>
          </w:p>
        </w:tc>
        <w:tc>
          <w:tcPr>
            <w:tcW w:w="73" w:type="dxa"/>
            <w:tcBorders/>
            <w:shd w:fill="CCEEFF" w:val="clear"/>
            <w:vAlign w:val="center"/>
          </w:tcPr>
          <w:p>
            <w:pPr>
              <w:pStyle w:val="TableContents"/>
              <w:bidi w:val="0"/>
              <w:spacing w:before="0" w:after="283"/>
              <w:jc w:val="left"/>
              <w:rPr/>
            </w:pPr>
            <w:r>
              <w:rPr/>
              <w:t> </w:t>
            </w:r>
          </w:p>
        </w:tc>
        <w:tc>
          <w:tcPr>
            <w:tcW w:w="154" w:type="dxa"/>
            <w:tcBorders/>
            <w:shd w:fill="CCEEFF" w:val="clear"/>
            <w:vAlign w:val="center"/>
          </w:tcPr>
          <w:p>
            <w:pPr>
              <w:pStyle w:val="TableContents"/>
              <w:bidi w:val="0"/>
              <w:spacing w:before="0" w:after="283"/>
              <w:ind w:left="0" w:right="0" w:hanging="0"/>
              <w:jc w:val="left"/>
              <w:rPr/>
            </w:pPr>
            <w:r>
              <w:rPr/>
              <w:t> </w:t>
            </w:r>
          </w:p>
        </w:tc>
        <w:tc>
          <w:tcPr>
            <w:tcW w:w="1174"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6,549</w:t>
            </w:r>
          </w:p>
        </w:tc>
        <w:tc>
          <w:tcPr>
            <w:tcW w:w="87" w:type="dxa"/>
            <w:tcBorders/>
            <w:shd w:fill="CCEEFF" w:val="clear"/>
            <w:vAlign w:val="center"/>
          </w:tcPr>
          <w:p>
            <w:pPr>
              <w:pStyle w:val="TableContents"/>
              <w:bidi w:val="0"/>
              <w:spacing w:before="0" w:after="283"/>
              <w:ind w:left="0" w:right="0" w:hanging="0"/>
              <w:jc w:val="left"/>
              <w:rPr/>
            </w:pPr>
            <w:r>
              <w:rPr/>
              <w:t> </w:t>
            </w:r>
          </w:p>
        </w:tc>
      </w:tr>
      <w:tr>
        <w:trPr/>
        <w:tc>
          <w:tcPr>
            <w:tcW w:w="4184" w:type="dxa"/>
            <w:tcBorders/>
            <w:shd w:fill="FFFF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Loss on sale of assets</w:t>
            </w:r>
          </w:p>
        </w:tc>
        <w:tc>
          <w:tcPr>
            <w:tcW w:w="60" w:type="dxa"/>
            <w:tcBorders/>
            <w:shd w:fill="FFFFFF" w:val="clear"/>
            <w:vAlign w:val="center"/>
          </w:tcPr>
          <w:p>
            <w:pPr>
              <w:pStyle w:val="TableContents"/>
              <w:bidi w:val="0"/>
              <w:spacing w:before="0" w:after="0"/>
              <w:ind w:left="0" w:right="0" w:hanging="0"/>
              <w:jc w:val="left"/>
              <w:rPr/>
            </w:pPr>
            <w:r>
              <w:rPr/>
              <w:t> </w:t>
            </w:r>
          </w:p>
        </w:tc>
        <w:tc>
          <w:tcPr>
            <w:tcW w:w="158"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1208"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w:t>
            </w:r>
          </w:p>
        </w:tc>
        <w:tc>
          <w:tcPr>
            <w:tcW w:w="100" w:type="dxa"/>
            <w:tcBorders/>
            <w:shd w:fill="FFFFFF" w:val="clear"/>
            <w:vAlign w:val="center"/>
          </w:tcPr>
          <w:p>
            <w:pPr>
              <w:pStyle w:val="TableContents"/>
              <w:bidi w:val="0"/>
              <w:spacing w:before="0" w:after="0"/>
              <w:ind w:left="0" w:right="0" w:hanging="0"/>
              <w:jc w:val="left"/>
              <w:rPr/>
            </w:pPr>
            <w:r>
              <w:rPr/>
              <w:t> </w:t>
            </w:r>
          </w:p>
        </w:tc>
        <w:tc>
          <w:tcPr>
            <w:tcW w:w="75" w:type="dxa"/>
            <w:tcBorders/>
            <w:shd w:fill="FFFFFF" w:val="clear"/>
            <w:vAlign w:val="center"/>
          </w:tcPr>
          <w:p>
            <w:pPr>
              <w:pStyle w:val="TableContents"/>
              <w:bidi w:val="0"/>
              <w:spacing w:before="0" w:after="0"/>
              <w:ind w:left="0" w:right="0" w:hanging="0"/>
              <w:jc w:val="left"/>
              <w:rPr/>
            </w:pPr>
            <w:r>
              <w:rPr/>
              <w:t> </w:t>
            </w:r>
          </w:p>
        </w:tc>
        <w:tc>
          <w:tcPr>
            <w:tcW w:w="158"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1208"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54"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1174"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434</w:t>
            </w:r>
          </w:p>
        </w:tc>
        <w:tc>
          <w:tcPr>
            <w:tcW w:w="98" w:type="dxa"/>
            <w:tcBorders/>
            <w:shd w:fill="FFFFFF" w:val="clear"/>
            <w:vAlign w:val="center"/>
          </w:tcPr>
          <w:p>
            <w:pPr>
              <w:pStyle w:val="TableContents"/>
              <w:bidi w:val="0"/>
              <w:spacing w:before="0" w:after="0"/>
              <w:ind w:left="0" w:right="0" w:hanging="0"/>
              <w:jc w:val="left"/>
              <w:rPr/>
            </w:pPr>
            <w:r>
              <w:rPr/>
              <w:t> </w:t>
            </w:r>
          </w:p>
        </w:tc>
        <w:tc>
          <w:tcPr>
            <w:tcW w:w="73" w:type="dxa"/>
            <w:tcBorders/>
            <w:shd w:fill="FFFFFF" w:val="clear"/>
            <w:vAlign w:val="center"/>
          </w:tcPr>
          <w:p>
            <w:pPr>
              <w:pStyle w:val="TableContents"/>
              <w:bidi w:val="0"/>
              <w:spacing w:before="0" w:after="0"/>
              <w:ind w:left="0" w:right="0" w:hanging="0"/>
              <w:jc w:val="left"/>
              <w:rPr/>
            </w:pPr>
            <w:r>
              <w:rPr/>
              <w:t> </w:t>
            </w:r>
          </w:p>
        </w:tc>
        <w:tc>
          <w:tcPr>
            <w:tcW w:w="154"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1174"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w:t>
            </w:r>
          </w:p>
        </w:tc>
        <w:tc>
          <w:tcPr>
            <w:tcW w:w="87" w:type="dxa"/>
            <w:tcBorders/>
            <w:shd w:fill="FFFFFF" w:val="clear"/>
            <w:vAlign w:val="center"/>
          </w:tcPr>
          <w:p>
            <w:pPr>
              <w:pStyle w:val="TableContents"/>
              <w:bidi w:val="0"/>
              <w:spacing w:before="0" w:after="0"/>
              <w:jc w:val="left"/>
              <w:rPr/>
            </w:pPr>
            <w:r>
              <w:rPr/>
              <w:t> </w:t>
            </w:r>
          </w:p>
        </w:tc>
      </w:tr>
      <w:tr>
        <w:trPr/>
        <w:tc>
          <w:tcPr>
            <w:tcW w:w="4184" w:type="dxa"/>
            <w:tcBorders/>
            <w:shd w:fill="CCEE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operating expenses</w:t>
            </w:r>
          </w:p>
        </w:tc>
        <w:tc>
          <w:tcPr>
            <w:tcW w:w="60" w:type="dxa"/>
            <w:tcBorders/>
            <w:shd w:fill="CCEEFF" w:val="clear"/>
            <w:vAlign w:val="center"/>
          </w:tcPr>
          <w:p>
            <w:pPr>
              <w:pStyle w:val="TableContents"/>
              <w:bidi w:val="0"/>
              <w:spacing w:before="0" w:after="283"/>
              <w:jc w:val="left"/>
              <w:rPr/>
            </w:pPr>
            <w:r>
              <w:rPr/>
              <w:t> </w:t>
            </w:r>
          </w:p>
        </w:tc>
        <w:tc>
          <w:tcPr>
            <w:tcW w:w="158" w:type="dxa"/>
            <w:tcBorders/>
            <w:shd w:fill="CCEEFF" w:val="clear"/>
            <w:vAlign w:val="center"/>
          </w:tcPr>
          <w:p>
            <w:pPr>
              <w:pStyle w:val="TableContents"/>
              <w:bidi w:val="0"/>
              <w:spacing w:before="0" w:after="283"/>
              <w:ind w:left="0" w:right="0" w:hanging="0"/>
              <w:jc w:val="left"/>
              <w:rPr/>
            </w:pPr>
            <w:r>
              <w:rPr/>
              <w:t> </w:t>
            </w:r>
          </w:p>
        </w:tc>
        <w:tc>
          <w:tcPr>
            <w:tcW w:w="120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5,117</w:t>
            </w:r>
          </w:p>
        </w:tc>
        <w:tc>
          <w:tcPr>
            <w:tcW w:w="100" w:type="dxa"/>
            <w:tcBorders/>
            <w:shd w:fill="CCEEFF" w:val="clear"/>
            <w:vAlign w:val="center"/>
          </w:tcPr>
          <w:p>
            <w:pPr>
              <w:pStyle w:val="TableContents"/>
              <w:bidi w:val="0"/>
              <w:spacing w:before="0" w:after="283"/>
              <w:jc w:val="left"/>
              <w:rPr/>
            </w:pPr>
            <w:r>
              <w:rPr/>
              <w:t> </w:t>
            </w:r>
          </w:p>
        </w:tc>
        <w:tc>
          <w:tcPr>
            <w:tcW w:w="75" w:type="dxa"/>
            <w:tcBorders/>
            <w:shd w:fill="CCEEFF" w:val="clear"/>
            <w:vAlign w:val="center"/>
          </w:tcPr>
          <w:p>
            <w:pPr>
              <w:pStyle w:val="TableContents"/>
              <w:bidi w:val="0"/>
              <w:spacing w:before="0" w:after="283"/>
              <w:jc w:val="left"/>
              <w:rPr/>
            </w:pPr>
            <w:r>
              <w:rPr/>
              <w:t> </w:t>
            </w:r>
          </w:p>
        </w:tc>
        <w:tc>
          <w:tcPr>
            <w:tcW w:w="158" w:type="dxa"/>
            <w:tcBorders/>
            <w:shd w:fill="CCEEFF" w:val="clear"/>
            <w:vAlign w:val="center"/>
          </w:tcPr>
          <w:p>
            <w:pPr>
              <w:pStyle w:val="TableContents"/>
              <w:bidi w:val="0"/>
              <w:spacing w:before="0" w:after="283"/>
              <w:ind w:left="0" w:right="0" w:hanging="0"/>
              <w:jc w:val="left"/>
              <w:rPr/>
            </w:pPr>
            <w:r>
              <w:rPr/>
              <w:t> </w:t>
            </w:r>
          </w:p>
        </w:tc>
        <w:tc>
          <w:tcPr>
            <w:tcW w:w="120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9,109</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4" w:type="dxa"/>
            <w:tcBorders/>
            <w:shd w:fill="CCEEFF" w:val="clear"/>
            <w:vAlign w:val="center"/>
          </w:tcPr>
          <w:p>
            <w:pPr>
              <w:pStyle w:val="TableContents"/>
              <w:bidi w:val="0"/>
              <w:spacing w:before="0" w:after="283"/>
              <w:ind w:left="0" w:right="0" w:hanging="0"/>
              <w:jc w:val="left"/>
              <w:rPr/>
            </w:pPr>
            <w:r>
              <w:rPr/>
              <w:t> </w:t>
            </w:r>
          </w:p>
        </w:tc>
        <w:tc>
          <w:tcPr>
            <w:tcW w:w="1174"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18,664</w:t>
            </w:r>
          </w:p>
        </w:tc>
        <w:tc>
          <w:tcPr>
            <w:tcW w:w="98" w:type="dxa"/>
            <w:tcBorders/>
            <w:shd w:fill="CCEEFF" w:val="clear"/>
            <w:vAlign w:val="center"/>
          </w:tcPr>
          <w:p>
            <w:pPr>
              <w:pStyle w:val="TableContents"/>
              <w:bidi w:val="0"/>
              <w:spacing w:before="0" w:after="283"/>
              <w:jc w:val="left"/>
              <w:rPr/>
            </w:pPr>
            <w:r>
              <w:rPr/>
              <w:t> </w:t>
            </w:r>
          </w:p>
        </w:tc>
        <w:tc>
          <w:tcPr>
            <w:tcW w:w="73" w:type="dxa"/>
            <w:tcBorders/>
            <w:shd w:fill="CCEEFF" w:val="clear"/>
            <w:vAlign w:val="center"/>
          </w:tcPr>
          <w:p>
            <w:pPr>
              <w:pStyle w:val="TableContents"/>
              <w:bidi w:val="0"/>
              <w:spacing w:before="0" w:after="283"/>
              <w:jc w:val="left"/>
              <w:rPr/>
            </w:pPr>
            <w:r>
              <w:rPr/>
              <w:t> </w:t>
            </w:r>
          </w:p>
        </w:tc>
        <w:tc>
          <w:tcPr>
            <w:tcW w:w="154" w:type="dxa"/>
            <w:tcBorders/>
            <w:shd w:fill="CCEEFF" w:val="clear"/>
            <w:vAlign w:val="center"/>
          </w:tcPr>
          <w:p>
            <w:pPr>
              <w:pStyle w:val="TableContents"/>
              <w:bidi w:val="0"/>
              <w:spacing w:before="0" w:after="283"/>
              <w:ind w:left="0" w:right="0" w:hanging="0"/>
              <w:jc w:val="left"/>
              <w:rPr/>
            </w:pPr>
            <w:r>
              <w:rPr/>
              <w:t> </w:t>
            </w:r>
          </w:p>
        </w:tc>
        <w:tc>
          <w:tcPr>
            <w:tcW w:w="1174"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30,284</w:t>
            </w:r>
          </w:p>
        </w:tc>
        <w:tc>
          <w:tcPr>
            <w:tcW w:w="87" w:type="dxa"/>
            <w:tcBorders/>
            <w:shd w:fill="CCEEFF" w:val="clear"/>
            <w:vAlign w:val="center"/>
          </w:tcPr>
          <w:p>
            <w:pPr>
              <w:pStyle w:val="TableContents"/>
              <w:bidi w:val="0"/>
              <w:spacing w:before="0" w:after="283"/>
              <w:jc w:val="left"/>
              <w:rPr/>
            </w:pPr>
            <w:r>
              <w:rPr/>
              <w:t> </w:t>
            </w:r>
          </w:p>
        </w:tc>
      </w:tr>
      <w:tr>
        <w:trPr/>
        <w:tc>
          <w:tcPr>
            <w:tcW w:w="4184"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8" w:type="dxa"/>
            <w:tcBorders/>
            <w:shd w:fill="FFFFFF" w:val="clear"/>
            <w:vAlign w:val="center"/>
          </w:tcPr>
          <w:p>
            <w:pPr>
              <w:pStyle w:val="TableContents"/>
              <w:bidi w:val="0"/>
              <w:spacing w:before="0" w:after="283"/>
              <w:jc w:val="left"/>
              <w:rPr/>
            </w:pPr>
            <w:r>
              <w:rPr/>
              <w:t> </w:t>
            </w:r>
          </w:p>
        </w:tc>
        <w:tc>
          <w:tcPr>
            <w:tcW w:w="1208" w:type="dxa"/>
            <w:tcBorders/>
            <w:shd w:fill="FFFFFF" w:val="clear"/>
            <w:vAlign w:val="center"/>
          </w:tcPr>
          <w:p>
            <w:pPr>
              <w:pStyle w:val="TableContents"/>
              <w:bidi w:val="0"/>
              <w:spacing w:before="0" w:after="283"/>
              <w:jc w:val="left"/>
              <w:rPr/>
            </w:pPr>
            <w:r>
              <w:rPr/>
              <w:t> </w:t>
            </w:r>
          </w:p>
        </w:tc>
        <w:tc>
          <w:tcPr>
            <w:tcW w:w="100" w:type="dxa"/>
            <w:tcBorders/>
            <w:shd w:fill="FFFFFF" w:val="clear"/>
            <w:vAlign w:val="center"/>
          </w:tcPr>
          <w:p>
            <w:pPr>
              <w:pStyle w:val="TableContents"/>
              <w:bidi w:val="0"/>
              <w:spacing w:before="0" w:after="283"/>
              <w:jc w:val="left"/>
              <w:rPr/>
            </w:pPr>
            <w:r>
              <w:rPr/>
              <w:t> </w:t>
            </w:r>
          </w:p>
        </w:tc>
        <w:tc>
          <w:tcPr>
            <w:tcW w:w="75" w:type="dxa"/>
            <w:tcBorders/>
            <w:shd w:fill="FFFFFF" w:val="clear"/>
            <w:vAlign w:val="center"/>
          </w:tcPr>
          <w:p>
            <w:pPr>
              <w:pStyle w:val="TableContents"/>
              <w:bidi w:val="0"/>
              <w:spacing w:before="0" w:after="283"/>
              <w:jc w:val="left"/>
              <w:rPr/>
            </w:pPr>
            <w:r>
              <w:rPr/>
              <w:t> </w:t>
            </w:r>
          </w:p>
        </w:tc>
        <w:tc>
          <w:tcPr>
            <w:tcW w:w="158" w:type="dxa"/>
            <w:tcBorders/>
            <w:shd w:fill="FFFFFF" w:val="clear"/>
            <w:vAlign w:val="center"/>
          </w:tcPr>
          <w:p>
            <w:pPr>
              <w:pStyle w:val="TableContents"/>
              <w:bidi w:val="0"/>
              <w:spacing w:before="0" w:after="283"/>
              <w:jc w:val="left"/>
              <w:rPr/>
            </w:pPr>
            <w:r>
              <w:rPr/>
              <w:t> </w:t>
            </w:r>
          </w:p>
        </w:tc>
        <w:tc>
          <w:tcPr>
            <w:tcW w:w="1208"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4" w:type="dxa"/>
            <w:tcBorders/>
            <w:shd w:fill="FFFFFF" w:val="clear"/>
            <w:vAlign w:val="center"/>
          </w:tcPr>
          <w:p>
            <w:pPr>
              <w:pStyle w:val="TableContents"/>
              <w:bidi w:val="0"/>
              <w:spacing w:before="0" w:after="283"/>
              <w:jc w:val="left"/>
              <w:rPr/>
            </w:pPr>
            <w:r>
              <w:rPr/>
              <w:t> </w:t>
            </w:r>
          </w:p>
        </w:tc>
        <w:tc>
          <w:tcPr>
            <w:tcW w:w="1174" w:type="dxa"/>
            <w:tcBorders/>
            <w:shd w:fill="FFFFFF" w:val="clear"/>
            <w:vAlign w:val="center"/>
          </w:tcPr>
          <w:p>
            <w:pPr>
              <w:pStyle w:val="TableContents"/>
              <w:bidi w:val="0"/>
              <w:spacing w:before="0" w:after="283"/>
              <w:jc w:val="left"/>
              <w:rPr/>
            </w:pPr>
            <w:r>
              <w:rPr/>
              <w:t> </w:t>
            </w:r>
          </w:p>
        </w:tc>
        <w:tc>
          <w:tcPr>
            <w:tcW w:w="98" w:type="dxa"/>
            <w:tcBorders/>
            <w:shd w:fill="FFFFFF" w:val="clear"/>
            <w:vAlign w:val="center"/>
          </w:tcPr>
          <w:p>
            <w:pPr>
              <w:pStyle w:val="TableContents"/>
              <w:bidi w:val="0"/>
              <w:spacing w:before="0" w:after="283"/>
              <w:jc w:val="left"/>
              <w:rPr/>
            </w:pPr>
            <w:r>
              <w:rPr/>
              <w:t> </w:t>
            </w:r>
          </w:p>
        </w:tc>
        <w:tc>
          <w:tcPr>
            <w:tcW w:w="73" w:type="dxa"/>
            <w:tcBorders/>
            <w:shd w:fill="FFFFFF" w:val="clear"/>
            <w:vAlign w:val="center"/>
          </w:tcPr>
          <w:p>
            <w:pPr>
              <w:pStyle w:val="TableContents"/>
              <w:bidi w:val="0"/>
              <w:spacing w:before="0" w:after="283"/>
              <w:jc w:val="left"/>
              <w:rPr/>
            </w:pPr>
            <w:r>
              <w:rPr/>
              <w:t> </w:t>
            </w:r>
          </w:p>
        </w:tc>
        <w:tc>
          <w:tcPr>
            <w:tcW w:w="154" w:type="dxa"/>
            <w:tcBorders/>
            <w:shd w:fill="FFFFFF" w:val="clear"/>
            <w:vAlign w:val="center"/>
          </w:tcPr>
          <w:p>
            <w:pPr>
              <w:pStyle w:val="TableContents"/>
              <w:bidi w:val="0"/>
              <w:spacing w:before="0" w:after="283"/>
              <w:jc w:val="left"/>
              <w:rPr/>
            </w:pPr>
            <w:r>
              <w:rPr/>
              <w:t> </w:t>
            </w:r>
          </w:p>
        </w:tc>
        <w:tc>
          <w:tcPr>
            <w:tcW w:w="1174" w:type="dxa"/>
            <w:tcBorders/>
            <w:shd w:fill="FFFFFF" w:val="clear"/>
            <w:vAlign w:val="center"/>
          </w:tcPr>
          <w:p>
            <w:pPr>
              <w:pStyle w:val="TableContents"/>
              <w:bidi w:val="0"/>
              <w:spacing w:before="0" w:after="283"/>
              <w:jc w:val="left"/>
              <w:rPr/>
            </w:pPr>
            <w:r>
              <w:rPr/>
              <w:t> </w:t>
            </w:r>
          </w:p>
        </w:tc>
        <w:tc>
          <w:tcPr>
            <w:tcW w:w="87" w:type="dxa"/>
            <w:tcBorders/>
            <w:shd w:fill="FFFFFF" w:val="clear"/>
            <w:vAlign w:val="center"/>
          </w:tcPr>
          <w:p>
            <w:pPr>
              <w:pStyle w:val="TableContents"/>
              <w:bidi w:val="0"/>
              <w:spacing w:before="0" w:after="283"/>
              <w:jc w:val="left"/>
              <w:rPr/>
            </w:pPr>
            <w:r>
              <w:rPr/>
              <w:t> </w:t>
            </w:r>
          </w:p>
        </w:tc>
      </w:tr>
      <w:tr>
        <w:trPr/>
        <w:tc>
          <w:tcPr>
            <w:tcW w:w="4184" w:type="dxa"/>
            <w:tcBorders/>
            <w:shd w:fill="CCEE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Operating loss</w:t>
            </w:r>
          </w:p>
        </w:tc>
        <w:tc>
          <w:tcPr>
            <w:tcW w:w="60" w:type="dxa"/>
            <w:tcBorders/>
            <w:shd w:fill="CCEEFF" w:val="clear"/>
            <w:vAlign w:val="center"/>
          </w:tcPr>
          <w:p>
            <w:pPr>
              <w:pStyle w:val="TableContents"/>
              <w:bidi w:val="0"/>
              <w:spacing w:before="0" w:after="283"/>
              <w:jc w:val="left"/>
              <w:rPr/>
            </w:pPr>
            <w:r>
              <w:rPr/>
              <w:t> </w:t>
            </w:r>
          </w:p>
        </w:tc>
        <w:tc>
          <w:tcPr>
            <w:tcW w:w="158" w:type="dxa"/>
            <w:tcBorders/>
            <w:shd w:fill="CCEEFF" w:val="clear"/>
            <w:vAlign w:val="center"/>
          </w:tcPr>
          <w:p>
            <w:pPr>
              <w:pStyle w:val="TableContents"/>
              <w:bidi w:val="0"/>
              <w:spacing w:before="0" w:after="283"/>
              <w:ind w:left="0" w:right="0" w:hanging="0"/>
              <w:jc w:val="left"/>
              <w:rPr/>
            </w:pPr>
            <w:r>
              <w:rPr/>
              <w:t> </w:t>
            </w:r>
          </w:p>
        </w:tc>
        <w:tc>
          <w:tcPr>
            <w:tcW w:w="120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(3,379</w:t>
            </w:r>
          </w:p>
        </w:tc>
        <w:tc>
          <w:tcPr>
            <w:tcW w:w="10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75" w:type="dxa"/>
            <w:tcBorders/>
            <w:shd w:fill="CCEEFF" w:val="clear"/>
            <w:vAlign w:val="center"/>
          </w:tcPr>
          <w:p>
            <w:pPr>
              <w:pStyle w:val="TableContents"/>
              <w:bidi w:val="0"/>
              <w:spacing w:before="0" w:after="283"/>
              <w:jc w:val="left"/>
              <w:rPr/>
            </w:pPr>
            <w:r>
              <w:rPr/>
              <w:t> </w:t>
            </w:r>
          </w:p>
        </w:tc>
        <w:tc>
          <w:tcPr>
            <w:tcW w:w="158" w:type="dxa"/>
            <w:tcBorders/>
            <w:shd w:fill="CCEEFF" w:val="clear"/>
            <w:vAlign w:val="center"/>
          </w:tcPr>
          <w:p>
            <w:pPr>
              <w:pStyle w:val="TableContents"/>
              <w:bidi w:val="0"/>
              <w:spacing w:before="0" w:after="283"/>
              <w:ind w:left="0" w:right="0" w:hanging="0"/>
              <w:jc w:val="left"/>
              <w:rPr/>
            </w:pPr>
            <w:r>
              <w:rPr/>
              <w:t> </w:t>
            </w:r>
          </w:p>
        </w:tc>
        <w:tc>
          <w:tcPr>
            <w:tcW w:w="120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(4,152</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54" w:type="dxa"/>
            <w:tcBorders/>
            <w:shd w:fill="CCEEFF" w:val="clear"/>
            <w:vAlign w:val="center"/>
          </w:tcPr>
          <w:p>
            <w:pPr>
              <w:pStyle w:val="TableContents"/>
              <w:bidi w:val="0"/>
              <w:spacing w:before="0" w:after="283"/>
              <w:ind w:left="0" w:right="0" w:hanging="0"/>
              <w:jc w:val="left"/>
              <w:rPr/>
            </w:pPr>
            <w:r>
              <w:rPr/>
              <w:t> </w:t>
            </w:r>
          </w:p>
        </w:tc>
        <w:tc>
          <w:tcPr>
            <w:tcW w:w="1174"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(12,705</w:t>
            </w:r>
          </w:p>
        </w:tc>
        <w:tc>
          <w:tcPr>
            <w:tcW w:w="98"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73" w:type="dxa"/>
            <w:tcBorders/>
            <w:shd w:fill="CCEEFF" w:val="clear"/>
            <w:vAlign w:val="center"/>
          </w:tcPr>
          <w:p>
            <w:pPr>
              <w:pStyle w:val="TableContents"/>
              <w:bidi w:val="0"/>
              <w:spacing w:before="0" w:after="283"/>
              <w:jc w:val="left"/>
              <w:rPr/>
            </w:pPr>
            <w:r>
              <w:rPr/>
              <w:t> </w:t>
            </w:r>
          </w:p>
        </w:tc>
        <w:tc>
          <w:tcPr>
            <w:tcW w:w="154" w:type="dxa"/>
            <w:tcBorders/>
            <w:shd w:fill="CCEEFF" w:val="clear"/>
            <w:vAlign w:val="center"/>
          </w:tcPr>
          <w:p>
            <w:pPr>
              <w:pStyle w:val="TableContents"/>
              <w:bidi w:val="0"/>
              <w:spacing w:before="0" w:after="283"/>
              <w:ind w:left="0" w:right="0" w:hanging="0"/>
              <w:jc w:val="left"/>
              <w:rPr/>
            </w:pPr>
            <w:r>
              <w:rPr/>
              <w:t> </w:t>
            </w:r>
          </w:p>
        </w:tc>
        <w:tc>
          <w:tcPr>
            <w:tcW w:w="1174"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(13,890</w:t>
            </w:r>
          </w:p>
        </w:tc>
        <w:tc>
          <w:tcPr>
            <w:tcW w:w="87"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4184"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8" w:type="dxa"/>
            <w:tcBorders/>
            <w:shd w:fill="FFFFFF" w:val="clear"/>
            <w:vAlign w:val="center"/>
          </w:tcPr>
          <w:p>
            <w:pPr>
              <w:pStyle w:val="TableContents"/>
              <w:bidi w:val="0"/>
              <w:spacing w:before="0" w:after="283"/>
              <w:jc w:val="left"/>
              <w:rPr/>
            </w:pPr>
            <w:r>
              <w:rPr/>
              <w:t> </w:t>
            </w:r>
          </w:p>
        </w:tc>
        <w:tc>
          <w:tcPr>
            <w:tcW w:w="1208" w:type="dxa"/>
            <w:tcBorders/>
            <w:shd w:fill="FFFFFF" w:val="clear"/>
            <w:vAlign w:val="center"/>
          </w:tcPr>
          <w:p>
            <w:pPr>
              <w:pStyle w:val="TableContents"/>
              <w:bidi w:val="0"/>
              <w:spacing w:before="0" w:after="283"/>
              <w:jc w:val="left"/>
              <w:rPr/>
            </w:pPr>
            <w:r>
              <w:rPr/>
              <w:t> </w:t>
            </w:r>
          </w:p>
        </w:tc>
        <w:tc>
          <w:tcPr>
            <w:tcW w:w="100" w:type="dxa"/>
            <w:tcBorders/>
            <w:shd w:fill="FFFFFF" w:val="clear"/>
            <w:vAlign w:val="center"/>
          </w:tcPr>
          <w:p>
            <w:pPr>
              <w:pStyle w:val="TableContents"/>
              <w:bidi w:val="0"/>
              <w:spacing w:before="0" w:after="283"/>
              <w:jc w:val="left"/>
              <w:rPr/>
            </w:pPr>
            <w:r>
              <w:rPr/>
              <w:t> </w:t>
            </w:r>
          </w:p>
        </w:tc>
        <w:tc>
          <w:tcPr>
            <w:tcW w:w="75" w:type="dxa"/>
            <w:tcBorders/>
            <w:shd w:fill="FFFFFF" w:val="clear"/>
            <w:vAlign w:val="center"/>
          </w:tcPr>
          <w:p>
            <w:pPr>
              <w:pStyle w:val="TableContents"/>
              <w:bidi w:val="0"/>
              <w:spacing w:before="0" w:after="283"/>
              <w:jc w:val="left"/>
              <w:rPr/>
            </w:pPr>
            <w:r>
              <w:rPr/>
              <w:t> </w:t>
            </w:r>
          </w:p>
        </w:tc>
        <w:tc>
          <w:tcPr>
            <w:tcW w:w="158" w:type="dxa"/>
            <w:tcBorders/>
            <w:shd w:fill="FFFFFF" w:val="clear"/>
            <w:vAlign w:val="center"/>
          </w:tcPr>
          <w:p>
            <w:pPr>
              <w:pStyle w:val="TableContents"/>
              <w:bidi w:val="0"/>
              <w:spacing w:before="0" w:after="283"/>
              <w:jc w:val="left"/>
              <w:rPr/>
            </w:pPr>
            <w:r>
              <w:rPr/>
              <w:t> </w:t>
            </w:r>
          </w:p>
        </w:tc>
        <w:tc>
          <w:tcPr>
            <w:tcW w:w="1208"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4" w:type="dxa"/>
            <w:tcBorders/>
            <w:shd w:fill="FFFFFF" w:val="clear"/>
            <w:vAlign w:val="center"/>
          </w:tcPr>
          <w:p>
            <w:pPr>
              <w:pStyle w:val="TableContents"/>
              <w:bidi w:val="0"/>
              <w:spacing w:before="0" w:after="283"/>
              <w:jc w:val="left"/>
              <w:rPr/>
            </w:pPr>
            <w:r>
              <w:rPr/>
              <w:t> </w:t>
            </w:r>
          </w:p>
        </w:tc>
        <w:tc>
          <w:tcPr>
            <w:tcW w:w="1174" w:type="dxa"/>
            <w:tcBorders/>
            <w:shd w:fill="FFFFFF" w:val="clear"/>
            <w:vAlign w:val="center"/>
          </w:tcPr>
          <w:p>
            <w:pPr>
              <w:pStyle w:val="TableContents"/>
              <w:bidi w:val="0"/>
              <w:spacing w:before="0" w:after="283"/>
              <w:jc w:val="left"/>
              <w:rPr/>
            </w:pPr>
            <w:r>
              <w:rPr/>
              <w:t> </w:t>
            </w:r>
          </w:p>
        </w:tc>
        <w:tc>
          <w:tcPr>
            <w:tcW w:w="98" w:type="dxa"/>
            <w:tcBorders/>
            <w:shd w:fill="FFFFFF" w:val="clear"/>
            <w:vAlign w:val="center"/>
          </w:tcPr>
          <w:p>
            <w:pPr>
              <w:pStyle w:val="TableContents"/>
              <w:bidi w:val="0"/>
              <w:spacing w:before="0" w:after="283"/>
              <w:jc w:val="left"/>
              <w:rPr/>
            </w:pPr>
            <w:r>
              <w:rPr/>
              <w:t> </w:t>
            </w:r>
          </w:p>
        </w:tc>
        <w:tc>
          <w:tcPr>
            <w:tcW w:w="73" w:type="dxa"/>
            <w:tcBorders/>
            <w:shd w:fill="FFFFFF" w:val="clear"/>
            <w:vAlign w:val="center"/>
          </w:tcPr>
          <w:p>
            <w:pPr>
              <w:pStyle w:val="TableContents"/>
              <w:bidi w:val="0"/>
              <w:spacing w:before="0" w:after="283"/>
              <w:jc w:val="left"/>
              <w:rPr/>
            </w:pPr>
            <w:r>
              <w:rPr/>
              <w:t> </w:t>
            </w:r>
          </w:p>
        </w:tc>
        <w:tc>
          <w:tcPr>
            <w:tcW w:w="154" w:type="dxa"/>
            <w:tcBorders/>
            <w:shd w:fill="FFFFFF" w:val="clear"/>
            <w:vAlign w:val="center"/>
          </w:tcPr>
          <w:p>
            <w:pPr>
              <w:pStyle w:val="TableContents"/>
              <w:bidi w:val="0"/>
              <w:spacing w:before="0" w:after="283"/>
              <w:jc w:val="left"/>
              <w:rPr/>
            </w:pPr>
            <w:r>
              <w:rPr/>
              <w:t> </w:t>
            </w:r>
          </w:p>
        </w:tc>
        <w:tc>
          <w:tcPr>
            <w:tcW w:w="1174" w:type="dxa"/>
            <w:tcBorders/>
            <w:shd w:fill="FFFFFF" w:val="clear"/>
            <w:vAlign w:val="center"/>
          </w:tcPr>
          <w:p>
            <w:pPr>
              <w:pStyle w:val="TableContents"/>
              <w:bidi w:val="0"/>
              <w:spacing w:before="0" w:after="283"/>
              <w:jc w:val="left"/>
              <w:rPr/>
            </w:pPr>
            <w:r>
              <w:rPr/>
              <w:t> </w:t>
            </w:r>
          </w:p>
        </w:tc>
        <w:tc>
          <w:tcPr>
            <w:tcW w:w="87" w:type="dxa"/>
            <w:tcBorders/>
            <w:shd w:fill="FFFFFF" w:val="clear"/>
            <w:vAlign w:val="center"/>
          </w:tcPr>
          <w:p>
            <w:pPr>
              <w:pStyle w:val="TableContents"/>
              <w:bidi w:val="0"/>
              <w:spacing w:before="0" w:after="283"/>
              <w:jc w:val="left"/>
              <w:rPr/>
            </w:pPr>
            <w:r>
              <w:rPr/>
              <w:t> </w:t>
            </w:r>
          </w:p>
        </w:tc>
      </w:tr>
      <w:tr>
        <w:trPr/>
        <w:tc>
          <w:tcPr>
            <w:tcW w:w="4184" w:type="dxa"/>
            <w:tcBorders/>
            <w:shd w:fill="CCEE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Other income (expense):</w:t>
            </w:r>
          </w:p>
        </w:tc>
        <w:tc>
          <w:tcPr>
            <w:tcW w:w="60" w:type="dxa"/>
            <w:tcBorders/>
            <w:shd w:fill="CCEEFF" w:val="clear"/>
            <w:vAlign w:val="center"/>
          </w:tcPr>
          <w:p>
            <w:pPr>
              <w:pStyle w:val="TableContents"/>
              <w:bidi w:val="0"/>
              <w:spacing w:before="0" w:after="283"/>
              <w:jc w:val="left"/>
              <w:rPr/>
            </w:pPr>
            <w:r>
              <w:rPr/>
              <w:t> </w:t>
            </w:r>
          </w:p>
        </w:tc>
        <w:tc>
          <w:tcPr>
            <w:tcW w:w="158" w:type="dxa"/>
            <w:tcBorders/>
            <w:shd w:fill="CCEEFF" w:val="clear"/>
            <w:vAlign w:val="center"/>
          </w:tcPr>
          <w:p>
            <w:pPr>
              <w:pStyle w:val="TableContents"/>
              <w:bidi w:val="0"/>
              <w:spacing w:before="0" w:after="283"/>
              <w:jc w:val="left"/>
              <w:rPr/>
            </w:pPr>
            <w:r>
              <w:rPr/>
              <w:t> </w:t>
            </w:r>
          </w:p>
        </w:tc>
        <w:tc>
          <w:tcPr>
            <w:tcW w:w="1208" w:type="dxa"/>
            <w:tcBorders/>
            <w:shd w:fill="CCEEFF" w:val="clear"/>
            <w:vAlign w:val="center"/>
          </w:tcPr>
          <w:p>
            <w:pPr>
              <w:pStyle w:val="TableContents"/>
              <w:bidi w:val="0"/>
              <w:spacing w:before="0" w:after="283"/>
              <w:jc w:val="left"/>
              <w:rPr/>
            </w:pPr>
            <w:r>
              <w:rPr/>
              <w:t> </w:t>
            </w:r>
          </w:p>
        </w:tc>
        <w:tc>
          <w:tcPr>
            <w:tcW w:w="100" w:type="dxa"/>
            <w:tcBorders/>
            <w:shd w:fill="CCEEFF" w:val="clear"/>
            <w:vAlign w:val="center"/>
          </w:tcPr>
          <w:p>
            <w:pPr>
              <w:pStyle w:val="TableContents"/>
              <w:bidi w:val="0"/>
              <w:spacing w:before="0" w:after="283"/>
              <w:jc w:val="left"/>
              <w:rPr/>
            </w:pPr>
            <w:r>
              <w:rPr/>
              <w:t> </w:t>
            </w:r>
          </w:p>
        </w:tc>
        <w:tc>
          <w:tcPr>
            <w:tcW w:w="75" w:type="dxa"/>
            <w:tcBorders/>
            <w:shd w:fill="CCEEFF" w:val="clear"/>
            <w:vAlign w:val="center"/>
          </w:tcPr>
          <w:p>
            <w:pPr>
              <w:pStyle w:val="TableContents"/>
              <w:bidi w:val="0"/>
              <w:spacing w:before="0" w:after="283"/>
              <w:jc w:val="left"/>
              <w:rPr/>
            </w:pPr>
            <w:r>
              <w:rPr/>
              <w:t> </w:t>
            </w:r>
          </w:p>
        </w:tc>
        <w:tc>
          <w:tcPr>
            <w:tcW w:w="158" w:type="dxa"/>
            <w:tcBorders/>
            <w:shd w:fill="CCEEFF" w:val="clear"/>
            <w:vAlign w:val="center"/>
          </w:tcPr>
          <w:p>
            <w:pPr>
              <w:pStyle w:val="TableContents"/>
              <w:bidi w:val="0"/>
              <w:spacing w:before="0" w:after="283"/>
              <w:jc w:val="left"/>
              <w:rPr/>
            </w:pPr>
            <w:r>
              <w:rPr/>
              <w:t> </w:t>
            </w:r>
          </w:p>
        </w:tc>
        <w:tc>
          <w:tcPr>
            <w:tcW w:w="1208"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4" w:type="dxa"/>
            <w:tcBorders/>
            <w:shd w:fill="CCEEFF" w:val="clear"/>
            <w:vAlign w:val="center"/>
          </w:tcPr>
          <w:p>
            <w:pPr>
              <w:pStyle w:val="TableContents"/>
              <w:bidi w:val="0"/>
              <w:spacing w:before="0" w:after="283"/>
              <w:jc w:val="left"/>
              <w:rPr/>
            </w:pPr>
            <w:r>
              <w:rPr/>
              <w:t> </w:t>
            </w:r>
          </w:p>
        </w:tc>
        <w:tc>
          <w:tcPr>
            <w:tcW w:w="1174" w:type="dxa"/>
            <w:tcBorders/>
            <w:shd w:fill="CCEEFF" w:val="clear"/>
            <w:vAlign w:val="center"/>
          </w:tcPr>
          <w:p>
            <w:pPr>
              <w:pStyle w:val="TableContents"/>
              <w:bidi w:val="0"/>
              <w:spacing w:before="0" w:after="283"/>
              <w:jc w:val="left"/>
              <w:rPr/>
            </w:pPr>
            <w:r>
              <w:rPr/>
              <w:t> </w:t>
            </w:r>
          </w:p>
        </w:tc>
        <w:tc>
          <w:tcPr>
            <w:tcW w:w="98" w:type="dxa"/>
            <w:tcBorders/>
            <w:shd w:fill="CCEEFF" w:val="clear"/>
            <w:vAlign w:val="center"/>
          </w:tcPr>
          <w:p>
            <w:pPr>
              <w:pStyle w:val="TableContents"/>
              <w:bidi w:val="0"/>
              <w:spacing w:before="0" w:after="283"/>
              <w:jc w:val="left"/>
              <w:rPr/>
            </w:pPr>
            <w:r>
              <w:rPr/>
              <w:t> </w:t>
            </w:r>
          </w:p>
        </w:tc>
        <w:tc>
          <w:tcPr>
            <w:tcW w:w="73" w:type="dxa"/>
            <w:tcBorders/>
            <w:shd w:fill="CCEEFF" w:val="clear"/>
            <w:vAlign w:val="center"/>
          </w:tcPr>
          <w:p>
            <w:pPr>
              <w:pStyle w:val="TableContents"/>
              <w:bidi w:val="0"/>
              <w:spacing w:before="0" w:after="283"/>
              <w:jc w:val="left"/>
              <w:rPr/>
            </w:pPr>
            <w:r>
              <w:rPr/>
              <w:t> </w:t>
            </w:r>
          </w:p>
        </w:tc>
        <w:tc>
          <w:tcPr>
            <w:tcW w:w="154" w:type="dxa"/>
            <w:tcBorders/>
            <w:shd w:fill="CCEEFF" w:val="clear"/>
            <w:vAlign w:val="center"/>
          </w:tcPr>
          <w:p>
            <w:pPr>
              <w:pStyle w:val="TableContents"/>
              <w:bidi w:val="0"/>
              <w:spacing w:before="0" w:after="283"/>
              <w:jc w:val="left"/>
              <w:rPr/>
            </w:pPr>
            <w:r>
              <w:rPr/>
              <w:t> </w:t>
            </w:r>
          </w:p>
        </w:tc>
        <w:tc>
          <w:tcPr>
            <w:tcW w:w="1174" w:type="dxa"/>
            <w:tcBorders/>
            <w:shd w:fill="CCEEFF" w:val="clear"/>
            <w:vAlign w:val="center"/>
          </w:tcPr>
          <w:p>
            <w:pPr>
              <w:pStyle w:val="TableContents"/>
              <w:bidi w:val="0"/>
              <w:spacing w:before="0" w:after="283"/>
              <w:jc w:val="left"/>
              <w:rPr/>
            </w:pPr>
            <w:r>
              <w:rPr/>
              <w:t> </w:t>
            </w:r>
          </w:p>
        </w:tc>
        <w:tc>
          <w:tcPr>
            <w:tcW w:w="87" w:type="dxa"/>
            <w:tcBorders/>
            <w:shd w:fill="CCEEFF" w:val="clear"/>
            <w:vAlign w:val="center"/>
          </w:tcPr>
          <w:p>
            <w:pPr>
              <w:pStyle w:val="TableContents"/>
              <w:bidi w:val="0"/>
              <w:spacing w:before="0" w:after="283"/>
              <w:jc w:val="left"/>
              <w:rPr/>
            </w:pPr>
            <w:r>
              <w:rPr/>
              <w:t> </w:t>
            </w:r>
          </w:p>
        </w:tc>
      </w:tr>
      <w:tr>
        <w:trPr/>
        <w:tc>
          <w:tcPr>
            <w:tcW w:w="4184"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Commodity derivative gain, net</w:t>
            </w:r>
          </w:p>
        </w:tc>
        <w:tc>
          <w:tcPr>
            <w:tcW w:w="60" w:type="dxa"/>
            <w:tcBorders/>
            <w:shd w:fill="FFFFFF" w:val="clear"/>
            <w:vAlign w:val="center"/>
          </w:tcPr>
          <w:p>
            <w:pPr>
              <w:pStyle w:val="TableContents"/>
              <w:bidi w:val="0"/>
              <w:spacing w:before="0" w:after="283"/>
              <w:jc w:val="left"/>
              <w:rPr/>
            </w:pPr>
            <w:r>
              <w:rPr/>
              <w:t> </w:t>
            </w:r>
          </w:p>
        </w:tc>
        <w:tc>
          <w:tcPr>
            <w:tcW w:w="158" w:type="dxa"/>
            <w:tcBorders/>
            <w:shd w:fill="FFFFFF" w:val="clear"/>
            <w:vAlign w:val="center"/>
          </w:tcPr>
          <w:p>
            <w:pPr>
              <w:pStyle w:val="TableContents"/>
              <w:bidi w:val="0"/>
              <w:spacing w:before="0" w:after="283"/>
              <w:ind w:left="0" w:right="0" w:hanging="0"/>
              <w:jc w:val="left"/>
              <w:rPr/>
            </w:pPr>
            <w:r>
              <w:rPr/>
              <w:t> </w:t>
            </w:r>
          </w:p>
        </w:tc>
        <w:tc>
          <w:tcPr>
            <w:tcW w:w="120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100" w:type="dxa"/>
            <w:tcBorders/>
            <w:shd w:fill="FFFFFF" w:val="clear"/>
            <w:vAlign w:val="center"/>
          </w:tcPr>
          <w:p>
            <w:pPr>
              <w:pStyle w:val="TableContents"/>
              <w:bidi w:val="0"/>
              <w:spacing w:before="0" w:after="283"/>
              <w:jc w:val="left"/>
              <w:rPr/>
            </w:pPr>
            <w:r>
              <w:rPr/>
              <w:t> </w:t>
            </w:r>
          </w:p>
        </w:tc>
        <w:tc>
          <w:tcPr>
            <w:tcW w:w="75" w:type="dxa"/>
            <w:tcBorders/>
            <w:shd w:fill="FFFFFF" w:val="clear"/>
            <w:vAlign w:val="center"/>
          </w:tcPr>
          <w:p>
            <w:pPr>
              <w:pStyle w:val="TableContents"/>
              <w:bidi w:val="0"/>
              <w:spacing w:before="0" w:after="283"/>
              <w:jc w:val="left"/>
              <w:rPr/>
            </w:pPr>
            <w:r>
              <w:rPr/>
              <w:t> </w:t>
            </w:r>
          </w:p>
        </w:tc>
        <w:tc>
          <w:tcPr>
            <w:tcW w:w="158" w:type="dxa"/>
            <w:tcBorders/>
            <w:shd w:fill="FFFFFF" w:val="clear"/>
            <w:vAlign w:val="center"/>
          </w:tcPr>
          <w:p>
            <w:pPr>
              <w:pStyle w:val="TableContents"/>
              <w:bidi w:val="0"/>
              <w:spacing w:before="0" w:after="283"/>
              <w:ind w:left="0" w:right="0" w:hanging="0"/>
              <w:jc w:val="left"/>
              <w:rPr/>
            </w:pPr>
            <w:r>
              <w:rPr/>
              <w:t> </w:t>
            </w:r>
          </w:p>
        </w:tc>
        <w:tc>
          <w:tcPr>
            <w:tcW w:w="120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2,030</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4" w:type="dxa"/>
            <w:tcBorders/>
            <w:shd w:fill="FFFFFF" w:val="clear"/>
            <w:vAlign w:val="center"/>
          </w:tcPr>
          <w:p>
            <w:pPr>
              <w:pStyle w:val="TableContents"/>
              <w:bidi w:val="0"/>
              <w:spacing w:before="0" w:after="283"/>
              <w:ind w:left="0" w:right="0" w:hanging="0"/>
              <w:jc w:val="left"/>
              <w:rPr/>
            </w:pPr>
            <w:r>
              <w:rPr/>
              <w:t> </w:t>
            </w:r>
          </w:p>
        </w:tc>
        <w:tc>
          <w:tcPr>
            <w:tcW w:w="1174"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98" w:type="dxa"/>
            <w:tcBorders/>
            <w:shd w:fill="FFFFFF" w:val="clear"/>
            <w:vAlign w:val="center"/>
          </w:tcPr>
          <w:p>
            <w:pPr>
              <w:pStyle w:val="TableContents"/>
              <w:bidi w:val="0"/>
              <w:spacing w:before="0" w:after="283"/>
              <w:jc w:val="left"/>
              <w:rPr/>
            </w:pPr>
            <w:r>
              <w:rPr/>
              <w:t> </w:t>
            </w:r>
          </w:p>
        </w:tc>
        <w:tc>
          <w:tcPr>
            <w:tcW w:w="73" w:type="dxa"/>
            <w:tcBorders/>
            <w:shd w:fill="FFFFFF" w:val="clear"/>
            <w:vAlign w:val="center"/>
          </w:tcPr>
          <w:p>
            <w:pPr>
              <w:pStyle w:val="TableContents"/>
              <w:bidi w:val="0"/>
              <w:spacing w:before="0" w:after="283"/>
              <w:jc w:val="left"/>
              <w:rPr/>
            </w:pPr>
            <w:r>
              <w:rPr/>
              <w:t> </w:t>
            </w:r>
          </w:p>
        </w:tc>
        <w:tc>
          <w:tcPr>
            <w:tcW w:w="154" w:type="dxa"/>
            <w:tcBorders/>
            <w:shd w:fill="FFFFFF" w:val="clear"/>
            <w:vAlign w:val="center"/>
          </w:tcPr>
          <w:p>
            <w:pPr>
              <w:pStyle w:val="TableContents"/>
              <w:bidi w:val="0"/>
              <w:spacing w:before="0" w:after="283"/>
              <w:ind w:left="0" w:right="0" w:hanging="0"/>
              <w:jc w:val="left"/>
              <w:rPr/>
            </w:pPr>
            <w:r>
              <w:rPr/>
              <w:t> </w:t>
            </w:r>
          </w:p>
        </w:tc>
        <w:tc>
          <w:tcPr>
            <w:tcW w:w="1174"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537</w:t>
            </w:r>
          </w:p>
        </w:tc>
        <w:tc>
          <w:tcPr>
            <w:tcW w:w="87" w:type="dxa"/>
            <w:tcBorders/>
            <w:shd w:fill="FFFFFF" w:val="clear"/>
            <w:vAlign w:val="center"/>
          </w:tcPr>
          <w:p>
            <w:pPr>
              <w:pStyle w:val="TableContents"/>
              <w:bidi w:val="0"/>
              <w:spacing w:before="0" w:after="283"/>
              <w:jc w:val="left"/>
              <w:rPr/>
            </w:pPr>
            <w:r>
              <w:rPr/>
              <w:t> </w:t>
            </w:r>
          </w:p>
        </w:tc>
      </w:tr>
      <w:tr>
        <w:trPr/>
        <w:tc>
          <w:tcPr>
            <w:tcW w:w="4184"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Interest expense, net</w:t>
            </w:r>
          </w:p>
        </w:tc>
        <w:tc>
          <w:tcPr>
            <w:tcW w:w="60" w:type="dxa"/>
            <w:tcBorders/>
            <w:shd w:fill="CCEEFF" w:val="clear"/>
            <w:vAlign w:val="center"/>
          </w:tcPr>
          <w:p>
            <w:pPr>
              <w:pStyle w:val="TableContents"/>
              <w:bidi w:val="0"/>
              <w:spacing w:before="0" w:after="283"/>
              <w:jc w:val="left"/>
              <w:rPr/>
            </w:pPr>
            <w:r>
              <w:rPr/>
              <w:t> </w:t>
            </w:r>
          </w:p>
        </w:tc>
        <w:tc>
          <w:tcPr>
            <w:tcW w:w="158" w:type="dxa"/>
            <w:tcBorders/>
            <w:shd w:fill="CCEEFF" w:val="clear"/>
            <w:vAlign w:val="center"/>
          </w:tcPr>
          <w:p>
            <w:pPr>
              <w:pStyle w:val="TableContents"/>
              <w:bidi w:val="0"/>
              <w:spacing w:before="0" w:after="283"/>
              <w:ind w:left="0" w:right="0" w:hanging="0"/>
              <w:jc w:val="left"/>
              <w:rPr/>
            </w:pPr>
            <w:r>
              <w:rPr/>
              <w:t> </w:t>
            </w:r>
          </w:p>
        </w:tc>
        <w:tc>
          <w:tcPr>
            <w:tcW w:w="120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(72</w:t>
            </w:r>
          </w:p>
        </w:tc>
        <w:tc>
          <w:tcPr>
            <w:tcW w:w="10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75" w:type="dxa"/>
            <w:tcBorders/>
            <w:shd w:fill="CCEEFF" w:val="clear"/>
            <w:vAlign w:val="center"/>
          </w:tcPr>
          <w:p>
            <w:pPr>
              <w:pStyle w:val="TableContents"/>
              <w:bidi w:val="0"/>
              <w:spacing w:before="0" w:after="283"/>
              <w:jc w:val="left"/>
              <w:rPr/>
            </w:pPr>
            <w:r>
              <w:rPr/>
              <w:t> </w:t>
            </w:r>
          </w:p>
        </w:tc>
        <w:tc>
          <w:tcPr>
            <w:tcW w:w="158" w:type="dxa"/>
            <w:tcBorders/>
            <w:shd w:fill="CCEEFF" w:val="clear"/>
            <w:vAlign w:val="center"/>
          </w:tcPr>
          <w:p>
            <w:pPr>
              <w:pStyle w:val="TableContents"/>
              <w:bidi w:val="0"/>
              <w:spacing w:before="0" w:after="283"/>
              <w:ind w:left="0" w:right="0" w:hanging="0"/>
              <w:jc w:val="left"/>
              <w:rPr/>
            </w:pPr>
            <w:r>
              <w:rPr/>
              <w:t> </w:t>
            </w:r>
          </w:p>
        </w:tc>
        <w:tc>
          <w:tcPr>
            <w:tcW w:w="120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(93</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54" w:type="dxa"/>
            <w:tcBorders/>
            <w:shd w:fill="CCEEFF" w:val="clear"/>
            <w:vAlign w:val="center"/>
          </w:tcPr>
          <w:p>
            <w:pPr>
              <w:pStyle w:val="TableContents"/>
              <w:bidi w:val="0"/>
              <w:spacing w:before="0" w:after="283"/>
              <w:ind w:left="0" w:right="0" w:hanging="0"/>
              <w:jc w:val="left"/>
              <w:rPr/>
            </w:pPr>
            <w:r>
              <w:rPr/>
              <w:t> </w:t>
            </w:r>
          </w:p>
        </w:tc>
        <w:tc>
          <w:tcPr>
            <w:tcW w:w="1174"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(167</w:t>
            </w:r>
          </w:p>
        </w:tc>
        <w:tc>
          <w:tcPr>
            <w:tcW w:w="98"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73" w:type="dxa"/>
            <w:tcBorders/>
            <w:shd w:fill="CCEEFF" w:val="clear"/>
            <w:vAlign w:val="center"/>
          </w:tcPr>
          <w:p>
            <w:pPr>
              <w:pStyle w:val="TableContents"/>
              <w:bidi w:val="0"/>
              <w:spacing w:before="0" w:after="283"/>
              <w:jc w:val="left"/>
              <w:rPr/>
            </w:pPr>
            <w:r>
              <w:rPr/>
              <w:t> </w:t>
            </w:r>
          </w:p>
        </w:tc>
        <w:tc>
          <w:tcPr>
            <w:tcW w:w="154" w:type="dxa"/>
            <w:tcBorders/>
            <w:shd w:fill="CCEEFF" w:val="clear"/>
            <w:vAlign w:val="center"/>
          </w:tcPr>
          <w:p>
            <w:pPr>
              <w:pStyle w:val="TableContents"/>
              <w:bidi w:val="0"/>
              <w:spacing w:before="0" w:after="283"/>
              <w:ind w:left="0" w:right="0" w:hanging="0"/>
              <w:jc w:val="left"/>
              <w:rPr/>
            </w:pPr>
            <w:r>
              <w:rPr/>
              <w:t> </w:t>
            </w:r>
          </w:p>
        </w:tc>
        <w:tc>
          <w:tcPr>
            <w:tcW w:w="1174"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(344</w:t>
            </w:r>
          </w:p>
        </w:tc>
        <w:tc>
          <w:tcPr>
            <w:tcW w:w="87"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4184"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Other income, net</w:t>
            </w:r>
          </w:p>
        </w:tc>
        <w:tc>
          <w:tcPr>
            <w:tcW w:w="60" w:type="dxa"/>
            <w:tcBorders/>
            <w:shd w:fill="FFFFFF" w:val="clear"/>
            <w:vAlign w:val="center"/>
          </w:tcPr>
          <w:p>
            <w:pPr>
              <w:pStyle w:val="TableContents"/>
              <w:bidi w:val="0"/>
              <w:spacing w:before="0" w:after="283"/>
              <w:jc w:val="left"/>
              <w:rPr/>
            </w:pPr>
            <w:r>
              <w:rPr/>
              <w:t> </w:t>
            </w:r>
          </w:p>
        </w:tc>
        <w:tc>
          <w:tcPr>
            <w:tcW w:w="158"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208"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110</w:t>
            </w:r>
          </w:p>
        </w:tc>
        <w:tc>
          <w:tcPr>
            <w:tcW w:w="100" w:type="dxa"/>
            <w:tcBorders/>
            <w:shd w:fill="FFFFFF" w:val="clear"/>
            <w:vAlign w:val="center"/>
          </w:tcPr>
          <w:p>
            <w:pPr>
              <w:pStyle w:val="TableContents"/>
              <w:bidi w:val="0"/>
              <w:spacing w:before="0" w:after="283"/>
              <w:jc w:val="left"/>
              <w:rPr/>
            </w:pPr>
            <w:r>
              <w:rPr/>
              <w:t> </w:t>
            </w:r>
          </w:p>
        </w:tc>
        <w:tc>
          <w:tcPr>
            <w:tcW w:w="75" w:type="dxa"/>
            <w:tcBorders/>
            <w:shd w:fill="FFFFFF" w:val="clear"/>
            <w:vAlign w:val="center"/>
          </w:tcPr>
          <w:p>
            <w:pPr>
              <w:pStyle w:val="TableContents"/>
              <w:bidi w:val="0"/>
              <w:spacing w:before="0" w:after="283"/>
              <w:jc w:val="left"/>
              <w:rPr/>
            </w:pPr>
            <w:r>
              <w:rPr/>
              <w:t> </w:t>
            </w:r>
          </w:p>
        </w:tc>
        <w:tc>
          <w:tcPr>
            <w:tcW w:w="158"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208"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(52</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54"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174"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362</w:t>
            </w:r>
          </w:p>
        </w:tc>
        <w:tc>
          <w:tcPr>
            <w:tcW w:w="98" w:type="dxa"/>
            <w:tcBorders/>
            <w:shd w:fill="FFFFFF" w:val="clear"/>
            <w:vAlign w:val="center"/>
          </w:tcPr>
          <w:p>
            <w:pPr>
              <w:pStyle w:val="TableContents"/>
              <w:bidi w:val="0"/>
              <w:spacing w:before="0" w:after="283"/>
              <w:jc w:val="left"/>
              <w:rPr/>
            </w:pPr>
            <w:r>
              <w:rPr/>
              <w:t> </w:t>
            </w:r>
          </w:p>
        </w:tc>
        <w:tc>
          <w:tcPr>
            <w:tcW w:w="73" w:type="dxa"/>
            <w:tcBorders/>
            <w:shd w:fill="FFFFFF" w:val="clear"/>
            <w:vAlign w:val="center"/>
          </w:tcPr>
          <w:p>
            <w:pPr>
              <w:pStyle w:val="TableContents"/>
              <w:bidi w:val="0"/>
              <w:spacing w:before="0" w:after="283"/>
              <w:jc w:val="left"/>
              <w:rPr/>
            </w:pPr>
            <w:r>
              <w:rPr/>
              <w:t> </w:t>
            </w:r>
          </w:p>
        </w:tc>
        <w:tc>
          <w:tcPr>
            <w:tcW w:w="154"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174"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(67</w:t>
            </w:r>
          </w:p>
        </w:tc>
        <w:tc>
          <w:tcPr>
            <w:tcW w:w="87"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4184" w:type="dxa"/>
            <w:tcBorders/>
            <w:shd w:fill="CCEE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other income</w:t>
            </w:r>
          </w:p>
        </w:tc>
        <w:tc>
          <w:tcPr>
            <w:tcW w:w="60" w:type="dxa"/>
            <w:tcBorders/>
            <w:shd w:fill="CCEEFF" w:val="clear"/>
            <w:vAlign w:val="center"/>
          </w:tcPr>
          <w:p>
            <w:pPr>
              <w:pStyle w:val="TableContents"/>
              <w:bidi w:val="0"/>
              <w:spacing w:before="0" w:after="283"/>
              <w:jc w:val="left"/>
              <w:rPr/>
            </w:pPr>
            <w:r>
              <w:rPr/>
              <w:t> </w:t>
            </w:r>
          </w:p>
        </w:tc>
        <w:tc>
          <w:tcPr>
            <w:tcW w:w="158" w:type="dxa"/>
            <w:tcBorders/>
            <w:shd w:fill="CCEEFF" w:val="clear"/>
            <w:vAlign w:val="center"/>
          </w:tcPr>
          <w:p>
            <w:pPr>
              <w:pStyle w:val="TableContents"/>
              <w:bidi w:val="0"/>
              <w:spacing w:before="0" w:after="283"/>
              <w:ind w:left="0" w:right="0" w:hanging="0"/>
              <w:jc w:val="left"/>
              <w:rPr/>
            </w:pPr>
            <w:r>
              <w:rPr/>
              <w:t> </w:t>
            </w:r>
          </w:p>
        </w:tc>
        <w:tc>
          <w:tcPr>
            <w:tcW w:w="120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38</w:t>
            </w:r>
          </w:p>
        </w:tc>
        <w:tc>
          <w:tcPr>
            <w:tcW w:w="100" w:type="dxa"/>
            <w:tcBorders/>
            <w:shd w:fill="CCEEFF" w:val="clear"/>
            <w:vAlign w:val="center"/>
          </w:tcPr>
          <w:p>
            <w:pPr>
              <w:pStyle w:val="TableContents"/>
              <w:bidi w:val="0"/>
              <w:spacing w:before="0" w:after="283"/>
              <w:jc w:val="left"/>
              <w:rPr/>
            </w:pPr>
            <w:r>
              <w:rPr/>
              <w:t> </w:t>
            </w:r>
          </w:p>
        </w:tc>
        <w:tc>
          <w:tcPr>
            <w:tcW w:w="75" w:type="dxa"/>
            <w:tcBorders/>
            <w:shd w:fill="CCEEFF" w:val="clear"/>
            <w:vAlign w:val="center"/>
          </w:tcPr>
          <w:p>
            <w:pPr>
              <w:pStyle w:val="TableContents"/>
              <w:bidi w:val="0"/>
              <w:spacing w:before="0" w:after="283"/>
              <w:jc w:val="left"/>
              <w:rPr/>
            </w:pPr>
            <w:r>
              <w:rPr/>
              <w:t> </w:t>
            </w:r>
          </w:p>
        </w:tc>
        <w:tc>
          <w:tcPr>
            <w:tcW w:w="158" w:type="dxa"/>
            <w:tcBorders/>
            <w:shd w:fill="CCEEFF" w:val="clear"/>
            <w:vAlign w:val="center"/>
          </w:tcPr>
          <w:p>
            <w:pPr>
              <w:pStyle w:val="TableContents"/>
              <w:bidi w:val="0"/>
              <w:spacing w:before="0" w:after="283"/>
              <w:ind w:left="0" w:right="0" w:hanging="0"/>
              <w:jc w:val="left"/>
              <w:rPr/>
            </w:pPr>
            <w:r>
              <w:rPr/>
              <w:t> </w:t>
            </w:r>
          </w:p>
        </w:tc>
        <w:tc>
          <w:tcPr>
            <w:tcW w:w="120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1,885</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4" w:type="dxa"/>
            <w:tcBorders/>
            <w:shd w:fill="CCEEFF" w:val="clear"/>
            <w:vAlign w:val="center"/>
          </w:tcPr>
          <w:p>
            <w:pPr>
              <w:pStyle w:val="TableContents"/>
              <w:bidi w:val="0"/>
              <w:spacing w:before="0" w:after="283"/>
              <w:ind w:left="0" w:right="0" w:hanging="0"/>
              <w:jc w:val="left"/>
              <w:rPr/>
            </w:pPr>
            <w:r>
              <w:rPr/>
              <w:t> </w:t>
            </w:r>
          </w:p>
        </w:tc>
        <w:tc>
          <w:tcPr>
            <w:tcW w:w="1174"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195</w:t>
            </w:r>
          </w:p>
        </w:tc>
        <w:tc>
          <w:tcPr>
            <w:tcW w:w="98" w:type="dxa"/>
            <w:tcBorders/>
            <w:shd w:fill="CCEEFF" w:val="clear"/>
            <w:vAlign w:val="center"/>
          </w:tcPr>
          <w:p>
            <w:pPr>
              <w:pStyle w:val="TableContents"/>
              <w:bidi w:val="0"/>
              <w:spacing w:before="0" w:after="283"/>
              <w:jc w:val="left"/>
              <w:rPr/>
            </w:pPr>
            <w:r>
              <w:rPr/>
              <w:t> </w:t>
            </w:r>
          </w:p>
        </w:tc>
        <w:tc>
          <w:tcPr>
            <w:tcW w:w="73" w:type="dxa"/>
            <w:tcBorders/>
            <w:shd w:fill="CCEEFF" w:val="clear"/>
            <w:vAlign w:val="center"/>
          </w:tcPr>
          <w:p>
            <w:pPr>
              <w:pStyle w:val="TableContents"/>
              <w:bidi w:val="0"/>
              <w:spacing w:before="0" w:after="283"/>
              <w:jc w:val="left"/>
              <w:rPr/>
            </w:pPr>
            <w:r>
              <w:rPr/>
              <w:t> </w:t>
            </w:r>
          </w:p>
        </w:tc>
        <w:tc>
          <w:tcPr>
            <w:tcW w:w="154" w:type="dxa"/>
            <w:tcBorders/>
            <w:shd w:fill="CCEEFF" w:val="clear"/>
            <w:vAlign w:val="center"/>
          </w:tcPr>
          <w:p>
            <w:pPr>
              <w:pStyle w:val="TableContents"/>
              <w:bidi w:val="0"/>
              <w:spacing w:before="0" w:after="283"/>
              <w:ind w:left="0" w:right="0" w:hanging="0"/>
              <w:jc w:val="left"/>
              <w:rPr/>
            </w:pPr>
            <w:r>
              <w:rPr/>
              <w:t> </w:t>
            </w:r>
          </w:p>
        </w:tc>
        <w:tc>
          <w:tcPr>
            <w:tcW w:w="1174"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126</w:t>
            </w:r>
          </w:p>
        </w:tc>
        <w:tc>
          <w:tcPr>
            <w:tcW w:w="87" w:type="dxa"/>
            <w:tcBorders/>
            <w:shd w:fill="CCEEFF" w:val="clear"/>
            <w:vAlign w:val="center"/>
          </w:tcPr>
          <w:p>
            <w:pPr>
              <w:pStyle w:val="TableContents"/>
              <w:bidi w:val="0"/>
              <w:spacing w:before="0" w:after="283"/>
              <w:jc w:val="left"/>
              <w:rPr/>
            </w:pPr>
            <w:r>
              <w:rPr/>
              <w:t> </w:t>
            </w:r>
          </w:p>
        </w:tc>
      </w:tr>
      <w:tr>
        <w:trPr/>
        <w:tc>
          <w:tcPr>
            <w:tcW w:w="4184"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8" w:type="dxa"/>
            <w:tcBorders/>
            <w:shd w:fill="FFFFFF" w:val="clear"/>
            <w:vAlign w:val="center"/>
          </w:tcPr>
          <w:p>
            <w:pPr>
              <w:pStyle w:val="TableContents"/>
              <w:bidi w:val="0"/>
              <w:spacing w:before="0" w:after="283"/>
              <w:jc w:val="left"/>
              <w:rPr/>
            </w:pPr>
            <w:r>
              <w:rPr/>
              <w:t> </w:t>
            </w:r>
          </w:p>
        </w:tc>
        <w:tc>
          <w:tcPr>
            <w:tcW w:w="1208" w:type="dxa"/>
            <w:tcBorders/>
            <w:shd w:fill="FFFFFF" w:val="clear"/>
            <w:vAlign w:val="center"/>
          </w:tcPr>
          <w:p>
            <w:pPr>
              <w:pStyle w:val="TableContents"/>
              <w:bidi w:val="0"/>
              <w:spacing w:before="0" w:after="283"/>
              <w:jc w:val="left"/>
              <w:rPr/>
            </w:pPr>
            <w:r>
              <w:rPr/>
              <w:t> </w:t>
            </w:r>
          </w:p>
        </w:tc>
        <w:tc>
          <w:tcPr>
            <w:tcW w:w="100" w:type="dxa"/>
            <w:tcBorders/>
            <w:shd w:fill="FFFFFF" w:val="clear"/>
            <w:vAlign w:val="center"/>
          </w:tcPr>
          <w:p>
            <w:pPr>
              <w:pStyle w:val="TableContents"/>
              <w:bidi w:val="0"/>
              <w:spacing w:before="0" w:after="283"/>
              <w:jc w:val="left"/>
              <w:rPr/>
            </w:pPr>
            <w:r>
              <w:rPr/>
              <w:t> </w:t>
            </w:r>
          </w:p>
        </w:tc>
        <w:tc>
          <w:tcPr>
            <w:tcW w:w="75" w:type="dxa"/>
            <w:tcBorders/>
            <w:shd w:fill="FFFFFF" w:val="clear"/>
            <w:vAlign w:val="center"/>
          </w:tcPr>
          <w:p>
            <w:pPr>
              <w:pStyle w:val="TableContents"/>
              <w:bidi w:val="0"/>
              <w:spacing w:before="0" w:after="283"/>
              <w:jc w:val="left"/>
              <w:rPr/>
            </w:pPr>
            <w:r>
              <w:rPr/>
              <w:t> </w:t>
            </w:r>
          </w:p>
        </w:tc>
        <w:tc>
          <w:tcPr>
            <w:tcW w:w="158" w:type="dxa"/>
            <w:tcBorders/>
            <w:shd w:fill="FFFFFF" w:val="clear"/>
            <w:vAlign w:val="center"/>
          </w:tcPr>
          <w:p>
            <w:pPr>
              <w:pStyle w:val="TableContents"/>
              <w:bidi w:val="0"/>
              <w:spacing w:before="0" w:after="283"/>
              <w:jc w:val="left"/>
              <w:rPr/>
            </w:pPr>
            <w:r>
              <w:rPr/>
              <w:t> </w:t>
            </w:r>
          </w:p>
        </w:tc>
        <w:tc>
          <w:tcPr>
            <w:tcW w:w="1208"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4" w:type="dxa"/>
            <w:tcBorders/>
            <w:shd w:fill="FFFFFF" w:val="clear"/>
            <w:vAlign w:val="center"/>
          </w:tcPr>
          <w:p>
            <w:pPr>
              <w:pStyle w:val="TableContents"/>
              <w:bidi w:val="0"/>
              <w:spacing w:before="0" w:after="283"/>
              <w:jc w:val="left"/>
              <w:rPr/>
            </w:pPr>
            <w:r>
              <w:rPr/>
              <w:t> </w:t>
            </w:r>
          </w:p>
        </w:tc>
        <w:tc>
          <w:tcPr>
            <w:tcW w:w="1174" w:type="dxa"/>
            <w:tcBorders/>
            <w:shd w:fill="FFFFFF" w:val="clear"/>
            <w:vAlign w:val="center"/>
          </w:tcPr>
          <w:p>
            <w:pPr>
              <w:pStyle w:val="TableContents"/>
              <w:bidi w:val="0"/>
              <w:spacing w:before="0" w:after="283"/>
              <w:jc w:val="left"/>
              <w:rPr/>
            </w:pPr>
            <w:r>
              <w:rPr/>
              <w:t> </w:t>
            </w:r>
          </w:p>
        </w:tc>
        <w:tc>
          <w:tcPr>
            <w:tcW w:w="98" w:type="dxa"/>
            <w:tcBorders/>
            <w:shd w:fill="FFFFFF" w:val="clear"/>
            <w:vAlign w:val="center"/>
          </w:tcPr>
          <w:p>
            <w:pPr>
              <w:pStyle w:val="TableContents"/>
              <w:bidi w:val="0"/>
              <w:spacing w:before="0" w:after="283"/>
              <w:jc w:val="left"/>
              <w:rPr/>
            </w:pPr>
            <w:r>
              <w:rPr/>
              <w:t> </w:t>
            </w:r>
          </w:p>
        </w:tc>
        <w:tc>
          <w:tcPr>
            <w:tcW w:w="73" w:type="dxa"/>
            <w:tcBorders/>
            <w:shd w:fill="FFFFFF" w:val="clear"/>
            <w:vAlign w:val="center"/>
          </w:tcPr>
          <w:p>
            <w:pPr>
              <w:pStyle w:val="TableContents"/>
              <w:bidi w:val="0"/>
              <w:spacing w:before="0" w:after="283"/>
              <w:jc w:val="left"/>
              <w:rPr/>
            </w:pPr>
            <w:r>
              <w:rPr/>
              <w:t> </w:t>
            </w:r>
          </w:p>
        </w:tc>
        <w:tc>
          <w:tcPr>
            <w:tcW w:w="154" w:type="dxa"/>
            <w:tcBorders/>
            <w:shd w:fill="FFFFFF" w:val="clear"/>
            <w:vAlign w:val="center"/>
          </w:tcPr>
          <w:p>
            <w:pPr>
              <w:pStyle w:val="TableContents"/>
              <w:bidi w:val="0"/>
              <w:spacing w:before="0" w:after="283"/>
              <w:jc w:val="left"/>
              <w:rPr/>
            </w:pPr>
            <w:r>
              <w:rPr/>
              <w:t> </w:t>
            </w:r>
          </w:p>
        </w:tc>
        <w:tc>
          <w:tcPr>
            <w:tcW w:w="1174" w:type="dxa"/>
            <w:tcBorders/>
            <w:shd w:fill="FFFFFF" w:val="clear"/>
            <w:vAlign w:val="center"/>
          </w:tcPr>
          <w:p>
            <w:pPr>
              <w:pStyle w:val="TableContents"/>
              <w:bidi w:val="0"/>
              <w:spacing w:before="0" w:after="283"/>
              <w:jc w:val="left"/>
              <w:rPr/>
            </w:pPr>
            <w:r>
              <w:rPr/>
              <w:t> </w:t>
            </w:r>
          </w:p>
        </w:tc>
        <w:tc>
          <w:tcPr>
            <w:tcW w:w="87" w:type="dxa"/>
            <w:tcBorders/>
            <w:shd w:fill="FFFFFF" w:val="clear"/>
            <w:vAlign w:val="center"/>
          </w:tcPr>
          <w:p>
            <w:pPr>
              <w:pStyle w:val="TableContents"/>
              <w:bidi w:val="0"/>
              <w:spacing w:before="0" w:after="283"/>
              <w:jc w:val="left"/>
              <w:rPr/>
            </w:pPr>
            <w:r>
              <w:rPr/>
              <w:t> </w:t>
            </w:r>
          </w:p>
        </w:tc>
      </w:tr>
      <w:tr>
        <w:trPr/>
        <w:tc>
          <w:tcPr>
            <w:tcW w:w="4184"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loss before income taxes</w:t>
            </w:r>
          </w:p>
        </w:tc>
        <w:tc>
          <w:tcPr>
            <w:tcW w:w="60" w:type="dxa"/>
            <w:tcBorders/>
            <w:shd w:fill="CCEEFF" w:val="clear"/>
            <w:vAlign w:val="center"/>
          </w:tcPr>
          <w:p>
            <w:pPr>
              <w:pStyle w:val="TableContents"/>
              <w:bidi w:val="0"/>
              <w:spacing w:before="0" w:after="283"/>
              <w:ind w:left="0" w:right="0" w:hanging="0"/>
              <w:jc w:val="left"/>
              <w:rPr/>
            </w:pPr>
            <w:r>
              <w:rPr/>
              <w:t> </w:t>
            </w:r>
          </w:p>
        </w:tc>
        <w:tc>
          <w:tcPr>
            <w:tcW w:w="158"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20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(3,341</w:t>
            </w:r>
          </w:p>
        </w:tc>
        <w:tc>
          <w:tcPr>
            <w:tcW w:w="10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75" w:type="dxa"/>
            <w:tcBorders/>
            <w:shd w:fill="CCEEFF" w:val="clear"/>
            <w:vAlign w:val="center"/>
          </w:tcPr>
          <w:p>
            <w:pPr>
              <w:pStyle w:val="TableContents"/>
              <w:bidi w:val="0"/>
              <w:spacing w:before="0" w:after="283"/>
              <w:ind w:left="0" w:right="0" w:hanging="0"/>
              <w:jc w:val="left"/>
              <w:rPr/>
            </w:pPr>
            <w:r>
              <w:rPr/>
              <w:t> </w:t>
            </w:r>
          </w:p>
        </w:tc>
        <w:tc>
          <w:tcPr>
            <w:tcW w:w="158"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20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(2,267</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154"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174"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(12,510</w:t>
            </w:r>
          </w:p>
        </w:tc>
        <w:tc>
          <w:tcPr>
            <w:tcW w:w="98"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73" w:type="dxa"/>
            <w:tcBorders/>
            <w:shd w:fill="CCEEFF" w:val="clear"/>
            <w:vAlign w:val="center"/>
          </w:tcPr>
          <w:p>
            <w:pPr>
              <w:pStyle w:val="TableContents"/>
              <w:bidi w:val="0"/>
              <w:spacing w:before="0" w:after="283"/>
              <w:ind w:left="0" w:right="0" w:hanging="0"/>
              <w:jc w:val="left"/>
              <w:rPr/>
            </w:pPr>
            <w:r>
              <w:rPr/>
              <w:t> </w:t>
            </w:r>
          </w:p>
        </w:tc>
        <w:tc>
          <w:tcPr>
            <w:tcW w:w="154"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174"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(13,764</w:t>
            </w:r>
          </w:p>
        </w:tc>
        <w:tc>
          <w:tcPr>
            <w:tcW w:w="87"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4184"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Income tax expense</w:t>
            </w:r>
          </w:p>
        </w:tc>
        <w:tc>
          <w:tcPr>
            <w:tcW w:w="60" w:type="dxa"/>
            <w:tcBorders/>
            <w:shd w:fill="FFFFFF" w:val="clear"/>
            <w:vAlign w:val="center"/>
          </w:tcPr>
          <w:p>
            <w:pPr>
              <w:pStyle w:val="TableContents"/>
              <w:bidi w:val="0"/>
              <w:spacing w:before="0" w:after="283"/>
              <w:jc w:val="left"/>
              <w:rPr/>
            </w:pPr>
            <w:r>
              <w:rPr/>
              <w:t> </w:t>
            </w:r>
          </w:p>
        </w:tc>
        <w:tc>
          <w:tcPr>
            <w:tcW w:w="158"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208"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100" w:type="dxa"/>
            <w:tcBorders/>
            <w:shd w:fill="FFFFFF" w:val="clear"/>
            <w:vAlign w:val="center"/>
          </w:tcPr>
          <w:p>
            <w:pPr>
              <w:pStyle w:val="TableContents"/>
              <w:bidi w:val="0"/>
              <w:spacing w:before="0" w:after="283"/>
              <w:jc w:val="left"/>
              <w:rPr/>
            </w:pPr>
            <w:r>
              <w:rPr/>
              <w:t> </w:t>
            </w:r>
          </w:p>
        </w:tc>
        <w:tc>
          <w:tcPr>
            <w:tcW w:w="75" w:type="dxa"/>
            <w:tcBorders/>
            <w:shd w:fill="FFFFFF" w:val="clear"/>
            <w:vAlign w:val="center"/>
          </w:tcPr>
          <w:p>
            <w:pPr>
              <w:pStyle w:val="TableContents"/>
              <w:bidi w:val="0"/>
              <w:spacing w:before="0" w:after="283"/>
              <w:jc w:val="left"/>
              <w:rPr/>
            </w:pPr>
            <w:r>
              <w:rPr/>
              <w:t> </w:t>
            </w:r>
          </w:p>
        </w:tc>
        <w:tc>
          <w:tcPr>
            <w:tcW w:w="158"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208"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20</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4"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174"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98" w:type="dxa"/>
            <w:tcBorders/>
            <w:shd w:fill="FFFFFF" w:val="clear"/>
            <w:vAlign w:val="center"/>
          </w:tcPr>
          <w:p>
            <w:pPr>
              <w:pStyle w:val="TableContents"/>
              <w:bidi w:val="0"/>
              <w:spacing w:before="0" w:after="283"/>
              <w:jc w:val="left"/>
              <w:rPr/>
            </w:pPr>
            <w:r>
              <w:rPr/>
              <w:t> </w:t>
            </w:r>
          </w:p>
        </w:tc>
        <w:tc>
          <w:tcPr>
            <w:tcW w:w="73" w:type="dxa"/>
            <w:tcBorders/>
            <w:shd w:fill="FFFFFF" w:val="clear"/>
            <w:vAlign w:val="center"/>
          </w:tcPr>
          <w:p>
            <w:pPr>
              <w:pStyle w:val="TableContents"/>
              <w:bidi w:val="0"/>
              <w:spacing w:before="0" w:after="283"/>
              <w:jc w:val="left"/>
              <w:rPr/>
            </w:pPr>
            <w:r>
              <w:rPr/>
              <w:t> </w:t>
            </w:r>
          </w:p>
        </w:tc>
        <w:tc>
          <w:tcPr>
            <w:tcW w:w="154"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174"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w:t>
            </w:r>
          </w:p>
        </w:tc>
        <w:tc>
          <w:tcPr>
            <w:tcW w:w="87" w:type="dxa"/>
            <w:tcBorders/>
            <w:shd w:fill="FFFFFF" w:val="clear"/>
            <w:vAlign w:val="center"/>
          </w:tcPr>
          <w:p>
            <w:pPr>
              <w:pStyle w:val="TableContents"/>
              <w:bidi w:val="0"/>
              <w:spacing w:before="0" w:after="283"/>
              <w:jc w:val="left"/>
              <w:rPr/>
            </w:pPr>
            <w:r>
              <w:rPr/>
              <w:t> </w:t>
            </w:r>
          </w:p>
        </w:tc>
      </w:tr>
      <w:tr>
        <w:trPr/>
        <w:tc>
          <w:tcPr>
            <w:tcW w:w="4184" w:type="dxa"/>
            <w:tcBorders/>
            <w:shd w:fill="CCEE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Net loss</w:t>
            </w:r>
          </w:p>
        </w:tc>
        <w:tc>
          <w:tcPr>
            <w:tcW w:w="60" w:type="dxa"/>
            <w:tcBorders/>
            <w:shd w:fill="CCEEFF" w:val="clear"/>
            <w:vAlign w:val="center"/>
          </w:tcPr>
          <w:p>
            <w:pPr>
              <w:pStyle w:val="TableContents"/>
              <w:bidi w:val="0"/>
              <w:spacing w:before="0" w:after="283"/>
              <w:ind w:left="0" w:right="0" w:hanging="0"/>
              <w:jc w:val="left"/>
              <w:rPr/>
            </w:pPr>
            <w:r>
              <w:rPr/>
              <w:t> </w:t>
            </w:r>
          </w:p>
        </w:tc>
        <w:tc>
          <w:tcPr>
            <w:tcW w:w="158"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208"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b/>
                <w:sz w:val="20"/>
              </w:rPr>
            </w:pPr>
            <w:r>
              <w:rPr>
                <w:rFonts w:ascii="Times New Roman;Times;serif" w:hAnsi="Times New Roman;Times;serif"/>
                <w:b/>
                <w:sz w:val="20"/>
              </w:rPr>
              <w:t>(3,341</w:t>
            </w:r>
          </w:p>
        </w:tc>
        <w:tc>
          <w:tcPr>
            <w:tcW w:w="100" w:type="dxa"/>
            <w:tcBorders/>
            <w:shd w:fill="CCEEFF" w:val="cle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w:t>
            </w:r>
          </w:p>
        </w:tc>
        <w:tc>
          <w:tcPr>
            <w:tcW w:w="75" w:type="dxa"/>
            <w:tcBorders/>
            <w:shd w:fill="CCEEFF" w:val="clear"/>
            <w:vAlign w:val="center"/>
          </w:tcPr>
          <w:p>
            <w:pPr>
              <w:pStyle w:val="TableContents"/>
              <w:bidi w:val="0"/>
              <w:spacing w:before="0" w:after="283"/>
              <w:ind w:left="0" w:right="0" w:hanging="0"/>
              <w:jc w:val="left"/>
              <w:rPr/>
            </w:pPr>
            <w:r>
              <w:rPr/>
              <w:t> </w:t>
            </w:r>
          </w:p>
        </w:tc>
        <w:tc>
          <w:tcPr>
            <w:tcW w:w="158"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208"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b/>
                <w:sz w:val="20"/>
              </w:rPr>
            </w:pPr>
            <w:r>
              <w:rPr>
                <w:rFonts w:ascii="Times New Roman;Times;serif" w:hAnsi="Times New Roman;Times;serif"/>
                <w:b/>
                <w:sz w:val="20"/>
              </w:rPr>
              <w:t>(2,247</w:t>
            </w:r>
          </w:p>
        </w:tc>
        <w:tc>
          <w:tcPr>
            <w:tcW w:w="80" w:type="dxa"/>
            <w:tcBorders/>
            <w:shd w:fill="CCEEFF" w:val="cle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154"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174"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b/>
                <w:sz w:val="20"/>
              </w:rPr>
            </w:pPr>
            <w:r>
              <w:rPr>
                <w:rFonts w:ascii="Times New Roman;Times;serif" w:hAnsi="Times New Roman;Times;serif"/>
                <w:b/>
                <w:sz w:val="20"/>
              </w:rPr>
              <w:t>(12,510</w:t>
            </w:r>
          </w:p>
        </w:tc>
        <w:tc>
          <w:tcPr>
            <w:tcW w:w="98" w:type="dxa"/>
            <w:tcBorders/>
            <w:shd w:fill="CCEEFF" w:val="cle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w:t>
            </w:r>
          </w:p>
        </w:tc>
        <w:tc>
          <w:tcPr>
            <w:tcW w:w="73" w:type="dxa"/>
            <w:tcBorders/>
            <w:shd w:fill="CCEEFF" w:val="clear"/>
            <w:vAlign w:val="center"/>
          </w:tcPr>
          <w:p>
            <w:pPr>
              <w:pStyle w:val="TableContents"/>
              <w:bidi w:val="0"/>
              <w:spacing w:before="0" w:after="283"/>
              <w:ind w:left="0" w:right="0" w:hanging="0"/>
              <w:jc w:val="left"/>
              <w:rPr/>
            </w:pPr>
            <w:r>
              <w:rPr/>
              <w:t> </w:t>
            </w:r>
          </w:p>
        </w:tc>
        <w:tc>
          <w:tcPr>
            <w:tcW w:w="154"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174"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b/>
                <w:sz w:val="20"/>
              </w:rPr>
            </w:pPr>
            <w:r>
              <w:rPr>
                <w:rFonts w:ascii="Times New Roman;Times;serif" w:hAnsi="Times New Roman;Times;serif"/>
                <w:b/>
                <w:sz w:val="20"/>
              </w:rPr>
              <w:t>(13,758</w:t>
            </w:r>
          </w:p>
        </w:tc>
        <w:tc>
          <w:tcPr>
            <w:tcW w:w="87" w:type="dxa"/>
            <w:tcBorders/>
            <w:shd w:fill="CCEEFF" w:val="clear"/>
            <w:vAlign w:val="center"/>
          </w:tcPr>
          <w:p>
            <w:pPr>
              <w:pStyle w:val="TableContents"/>
              <w:bidi w:val="0"/>
              <w:spacing w:before="0" w:after="283"/>
              <w:ind w:left="0" w:right="0" w:hanging="180"/>
              <w:jc w:val="left"/>
              <w:rPr>
                <w:rFonts w:ascii="Times New Roman;Times;serif" w:hAnsi="Times New Roman;Times;serif"/>
                <w:b/>
                <w:sz w:val="20"/>
              </w:rPr>
            </w:pPr>
            <w:r>
              <w:rPr>
                <w:rFonts w:ascii="Times New Roman;Times;serif" w:hAnsi="Times New Roman;Times;serif"/>
                <w:b/>
                <w:sz w:val="20"/>
              </w:rPr>
              <w:t>)</w:t>
            </w:r>
          </w:p>
        </w:tc>
      </w:tr>
      <w:tr>
        <w:trPr/>
        <w:tc>
          <w:tcPr>
            <w:tcW w:w="4184"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8" w:type="dxa"/>
            <w:tcBorders/>
            <w:shd w:fill="FFFFFF" w:val="clear"/>
            <w:vAlign w:val="center"/>
          </w:tcPr>
          <w:p>
            <w:pPr>
              <w:pStyle w:val="TableContents"/>
              <w:bidi w:val="0"/>
              <w:spacing w:before="0" w:after="283"/>
              <w:jc w:val="left"/>
              <w:rPr/>
            </w:pPr>
            <w:r>
              <w:rPr/>
              <w:t> </w:t>
            </w:r>
          </w:p>
        </w:tc>
        <w:tc>
          <w:tcPr>
            <w:tcW w:w="1208" w:type="dxa"/>
            <w:tcBorders/>
            <w:shd w:fill="FFFFFF" w:val="clear"/>
            <w:vAlign w:val="center"/>
          </w:tcPr>
          <w:p>
            <w:pPr>
              <w:pStyle w:val="TableContents"/>
              <w:bidi w:val="0"/>
              <w:spacing w:before="0" w:after="283"/>
              <w:jc w:val="left"/>
              <w:rPr/>
            </w:pPr>
            <w:r>
              <w:rPr/>
              <w:t> </w:t>
            </w:r>
          </w:p>
        </w:tc>
        <w:tc>
          <w:tcPr>
            <w:tcW w:w="100" w:type="dxa"/>
            <w:tcBorders/>
            <w:shd w:fill="FFFFFF" w:val="clear"/>
            <w:vAlign w:val="center"/>
          </w:tcPr>
          <w:p>
            <w:pPr>
              <w:pStyle w:val="TableContents"/>
              <w:bidi w:val="0"/>
              <w:spacing w:before="0" w:after="283"/>
              <w:jc w:val="left"/>
              <w:rPr/>
            </w:pPr>
            <w:r>
              <w:rPr/>
              <w:t> </w:t>
            </w:r>
          </w:p>
        </w:tc>
        <w:tc>
          <w:tcPr>
            <w:tcW w:w="75" w:type="dxa"/>
            <w:tcBorders/>
            <w:shd w:fill="FFFFFF" w:val="clear"/>
            <w:vAlign w:val="center"/>
          </w:tcPr>
          <w:p>
            <w:pPr>
              <w:pStyle w:val="TableContents"/>
              <w:bidi w:val="0"/>
              <w:spacing w:before="0" w:after="283"/>
              <w:jc w:val="left"/>
              <w:rPr/>
            </w:pPr>
            <w:r>
              <w:rPr/>
              <w:t> </w:t>
            </w:r>
          </w:p>
        </w:tc>
        <w:tc>
          <w:tcPr>
            <w:tcW w:w="158" w:type="dxa"/>
            <w:tcBorders/>
            <w:shd w:fill="FFFFFF" w:val="clear"/>
            <w:vAlign w:val="center"/>
          </w:tcPr>
          <w:p>
            <w:pPr>
              <w:pStyle w:val="TableContents"/>
              <w:bidi w:val="0"/>
              <w:spacing w:before="0" w:after="283"/>
              <w:jc w:val="left"/>
              <w:rPr/>
            </w:pPr>
            <w:r>
              <w:rPr/>
              <w:t> </w:t>
            </w:r>
          </w:p>
        </w:tc>
        <w:tc>
          <w:tcPr>
            <w:tcW w:w="1208"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4" w:type="dxa"/>
            <w:tcBorders/>
            <w:shd w:fill="FFFFFF" w:val="clear"/>
            <w:vAlign w:val="center"/>
          </w:tcPr>
          <w:p>
            <w:pPr>
              <w:pStyle w:val="TableContents"/>
              <w:bidi w:val="0"/>
              <w:spacing w:before="0" w:after="283"/>
              <w:jc w:val="left"/>
              <w:rPr/>
            </w:pPr>
            <w:r>
              <w:rPr/>
              <w:t> </w:t>
            </w:r>
          </w:p>
        </w:tc>
        <w:tc>
          <w:tcPr>
            <w:tcW w:w="1174" w:type="dxa"/>
            <w:tcBorders/>
            <w:shd w:fill="FFFFFF" w:val="clear"/>
            <w:vAlign w:val="center"/>
          </w:tcPr>
          <w:p>
            <w:pPr>
              <w:pStyle w:val="TableContents"/>
              <w:bidi w:val="0"/>
              <w:spacing w:before="0" w:after="283"/>
              <w:jc w:val="left"/>
              <w:rPr/>
            </w:pPr>
            <w:r>
              <w:rPr/>
              <w:t> </w:t>
            </w:r>
          </w:p>
        </w:tc>
        <w:tc>
          <w:tcPr>
            <w:tcW w:w="98" w:type="dxa"/>
            <w:tcBorders/>
            <w:shd w:fill="FFFFFF" w:val="clear"/>
            <w:vAlign w:val="center"/>
          </w:tcPr>
          <w:p>
            <w:pPr>
              <w:pStyle w:val="TableContents"/>
              <w:bidi w:val="0"/>
              <w:spacing w:before="0" w:after="283"/>
              <w:jc w:val="left"/>
              <w:rPr/>
            </w:pPr>
            <w:r>
              <w:rPr/>
              <w:t> </w:t>
            </w:r>
          </w:p>
        </w:tc>
        <w:tc>
          <w:tcPr>
            <w:tcW w:w="73" w:type="dxa"/>
            <w:tcBorders/>
            <w:shd w:fill="FFFFFF" w:val="clear"/>
            <w:vAlign w:val="center"/>
          </w:tcPr>
          <w:p>
            <w:pPr>
              <w:pStyle w:val="TableContents"/>
              <w:bidi w:val="0"/>
              <w:spacing w:before="0" w:after="283"/>
              <w:jc w:val="left"/>
              <w:rPr/>
            </w:pPr>
            <w:r>
              <w:rPr/>
              <w:t> </w:t>
            </w:r>
          </w:p>
        </w:tc>
        <w:tc>
          <w:tcPr>
            <w:tcW w:w="154" w:type="dxa"/>
            <w:tcBorders/>
            <w:shd w:fill="FFFFFF" w:val="clear"/>
            <w:vAlign w:val="center"/>
          </w:tcPr>
          <w:p>
            <w:pPr>
              <w:pStyle w:val="TableContents"/>
              <w:bidi w:val="0"/>
              <w:spacing w:before="0" w:after="283"/>
              <w:jc w:val="left"/>
              <w:rPr/>
            </w:pPr>
            <w:r>
              <w:rPr/>
              <w:t> </w:t>
            </w:r>
          </w:p>
        </w:tc>
        <w:tc>
          <w:tcPr>
            <w:tcW w:w="1174" w:type="dxa"/>
            <w:tcBorders/>
            <w:shd w:fill="FFFFFF" w:val="clear"/>
            <w:vAlign w:val="center"/>
          </w:tcPr>
          <w:p>
            <w:pPr>
              <w:pStyle w:val="TableContents"/>
              <w:bidi w:val="0"/>
              <w:spacing w:before="0" w:after="283"/>
              <w:jc w:val="left"/>
              <w:rPr/>
            </w:pPr>
            <w:r>
              <w:rPr/>
              <w:t> </w:t>
            </w:r>
          </w:p>
        </w:tc>
        <w:tc>
          <w:tcPr>
            <w:tcW w:w="87" w:type="dxa"/>
            <w:tcBorders/>
            <w:shd w:fill="FFFFFF" w:val="clear"/>
            <w:vAlign w:val="center"/>
          </w:tcPr>
          <w:p>
            <w:pPr>
              <w:pStyle w:val="TableContents"/>
              <w:bidi w:val="0"/>
              <w:spacing w:before="0" w:after="283"/>
              <w:jc w:val="left"/>
              <w:rPr/>
            </w:pPr>
            <w:r>
              <w:rPr/>
              <w:t> </w:t>
            </w:r>
          </w:p>
        </w:tc>
      </w:tr>
      <w:tr>
        <w:trPr/>
        <w:tc>
          <w:tcPr>
            <w:tcW w:w="4184"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Basic and diluted weighted average shares outstanding</w:t>
            </w:r>
          </w:p>
        </w:tc>
        <w:tc>
          <w:tcPr>
            <w:tcW w:w="60" w:type="dxa"/>
            <w:tcBorders/>
            <w:shd w:fill="CCEEFF" w:val="clear"/>
            <w:vAlign w:val="center"/>
          </w:tcPr>
          <w:p>
            <w:pPr>
              <w:pStyle w:val="TableContents"/>
              <w:bidi w:val="0"/>
              <w:spacing w:before="0" w:after="283"/>
              <w:jc w:val="left"/>
              <w:rPr/>
            </w:pPr>
            <w:r>
              <w:rPr/>
              <w:t> </w:t>
            </w:r>
          </w:p>
        </w:tc>
        <w:tc>
          <w:tcPr>
            <w:tcW w:w="158" w:type="dxa"/>
            <w:tcBorders/>
            <w:shd w:fill="CCEEFF" w:val="clear"/>
            <w:vAlign w:val="center"/>
          </w:tcPr>
          <w:p>
            <w:pPr>
              <w:pStyle w:val="TableContents"/>
              <w:bidi w:val="0"/>
              <w:spacing w:before="0" w:after="283"/>
              <w:ind w:left="0" w:right="0" w:hanging="0"/>
              <w:jc w:val="left"/>
              <w:rPr/>
            </w:pPr>
            <w:r>
              <w:rPr/>
              <w:t> </w:t>
            </w:r>
          </w:p>
        </w:tc>
        <w:tc>
          <w:tcPr>
            <w:tcW w:w="120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32,793,272</w:t>
            </w:r>
          </w:p>
        </w:tc>
        <w:tc>
          <w:tcPr>
            <w:tcW w:w="100" w:type="dxa"/>
            <w:tcBorders/>
            <w:shd w:fill="CCEEFF" w:val="clear"/>
            <w:vAlign w:val="center"/>
          </w:tcPr>
          <w:p>
            <w:pPr>
              <w:pStyle w:val="TableContents"/>
              <w:bidi w:val="0"/>
              <w:spacing w:before="0" w:after="283"/>
              <w:jc w:val="left"/>
              <w:rPr/>
            </w:pPr>
            <w:r>
              <w:rPr/>
              <w:t> </w:t>
            </w:r>
          </w:p>
        </w:tc>
        <w:tc>
          <w:tcPr>
            <w:tcW w:w="75" w:type="dxa"/>
            <w:tcBorders/>
            <w:shd w:fill="CCEEFF" w:val="clear"/>
            <w:vAlign w:val="center"/>
          </w:tcPr>
          <w:p>
            <w:pPr>
              <w:pStyle w:val="TableContents"/>
              <w:bidi w:val="0"/>
              <w:spacing w:before="0" w:after="283"/>
              <w:jc w:val="left"/>
              <w:rPr/>
            </w:pPr>
            <w:r>
              <w:rPr/>
              <w:t> </w:t>
            </w:r>
          </w:p>
        </w:tc>
        <w:tc>
          <w:tcPr>
            <w:tcW w:w="158" w:type="dxa"/>
            <w:tcBorders/>
            <w:shd w:fill="CCEEFF" w:val="clear"/>
            <w:vAlign w:val="center"/>
          </w:tcPr>
          <w:p>
            <w:pPr>
              <w:pStyle w:val="TableContents"/>
              <w:bidi w:val="0"/>
              <w:spacing w:before="0" w:after="283"/>
              <w:ind w:left="0" w:right="0" w:hanging="0"/>
              <w:jc w:val="left"/>
              <w:rPr/>
            </w:pPr>
            <w:r>
              <w:rPr/>
              <w:t> </w:t>
            </w:r>
          </w:p>
        </w:tc>
        <w:tc>
          <w:tcPr>
            <w:tcW w:w="120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28,052,356</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4" w:type="dxa"/>
            <w:tcBorders/>
            <w:shd w:fill="CCEEFF" w:val="clear"/>
            <w:vAlign w:val="center"/>
          </w:tcPr>
          <w:p>
            <w:pPr>
              <w:pStyle w:val="TableContents"/>
              <w:bidi w:val="0"/>
              <w:spacing w:before="0" w:after="283"/>
              <w:ind w:left="0" w:right="0" w:hanging="0"/>
              <w:jc w:val="left"/>
              <w:rPr/>
            </w:pPr>
            <w:r>
              <w:rPr/>
              <w:t> </w:t>
            </w:r>
          </w:p>
        </w:tc>
        <w:tc>
          <w:tcPr>
            <w:tcW w:w="1174"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33,630,832</w:t>
            </w:r>
          </w:p>
        </w:tc>
        <w:tc>
          <w:tcPr>
            <w:tcW w:w="98" w:type="dxa"/>
            <w:tcBorders/>
            <w:shd w:fill="CCEEFF" w:val="clear"/>
            <w:vAlign w:val="center"/>
          </w:tcPr>
          <w:p>
            <w:pPr>
              <w:pStyle w:val="TableContents"/>
              <w:bidi w:val="0"/>
              <w:spacing w:before="0" w:after="283"/>
              <w:jc w:val="left"/>
              <w:rPr/>
            </w:pPr>
            <w:r>
              <w:rPr/>
              <w:t> </w:t>
            </w:r>
          </w:p>
        </w:tc>
        <w:tc>
          <w:tcPr>
            <w:tcW w:w="73" w:type="dxa"/>
            <w:tcBorders/>
            <w:shd w:fill="CCEEFF" w:val="clear"/>
            <w:vAlign w:val="center"/>
          </w:tcPr>
          <w:p>
            <w:pPr>
              <w:pStyle w:val="TableContents"/>
              <w:bidi w:val="0"/>
              <w:spacing w:before="0" w:after="283"/>
              <w:jc w:val="left"/>
              <w:rPr/>
            </w:pPr>
            <w:r>
              <w:rPr/>
              <w:t> </w:t>
            </w:r>
          </w:p>
        </w:tc>
        <w:tc>
          <w:tcPr>
            <w:tcW w:w="154" w:type="dxa"/>
            <w:tcBorders/>
            <w:shd w:fill="CCEEFF" w:val="clear"/>
            <w:vAlign w:val="center"/>
          </w:tcPr>
          <w:p>
            <w:pPr>
              <w:pStyle w:val="TableContents"/>
              <w:bidi w:val="0"/>
              <w:spacing w:before="0" w:after="283"/>
              <w:ind w:left="0" w:right="0" w:hanging="0"/>
              <w:jc w:val="left"/>
              <w:rPr/>
            </w:pPr>
            <w:r>
              <w:rPr/>
              <w:t> </w:t>
            </w:r>
          </w:p>
        </w:tc>
        <w:tc>
          <w:tcPr>
            <w:tcW w:w="1174"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26,304,200</w:t>
            </w:r>
          </w:p>
        </w:tc>
        <w:tc>
          <w:tcPr>
            <w:tcW w:w="87" w:type="dxa"/>
            <w:tcBorders/>
            <w:shd w:fill="CCEEFF" w:val="clear"/>
            <w:vAlign w:val="center"/>
          </w:tcPr>
          <w:p>
            <w:pPr>
              <w:pStyle w:val="TableContents"/>
              <w:bidi w:val="0"/>
              <w:spacing w:before="0" w:after="283"/>
              <w:jc w:val="left"/>
              <w:rPr/>
            </w:pPr>
            <w:r>
              <w:rPr/>
              <w:t> </w:t>
            </w:r>
          </w:p>
        </w:tc>
      </w:tr>
      <w:tr>
        <w:trPr/>
        <w:tc>
          <w:tcPr>
            <w:tcW w:w="4184"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Basic and diluted loss per share</w:t>
            </w:r>
          </w:p>
        </w:tc>
        <w:tc>
          <w:tcPr>
            <w:tcW w:w="60" w:type="dxa"/>
            <w:tcBorders/>
            <w:shd w:fill="FFFFFF" w:val="clear"/>
            <w:vAlign w:val="center"/>
          </w:tcPr>
          <w:p>
            <w:pPr>
              <w:pStyle w:val="TableContents"/>
              <w:bidi w:val="0"/>
              <w:spacing w:before="0" w:after="283"/>
              <w:ind w:left="0" w:right="0" w:hanging="0"/>
              <w:jc w:val="left"/>
              <w:rPr/>
            </w:pPr>
            <w:r>
              <w:rPr/>
              <w:t> </w:t>
            </w:r>
          </w:p>
        </w:tc>
        <w:tc>
          <w:tcPr>
            <w:tcW w:w="158"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20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(0.10</w:t>
            </w:r>
          </w:p>
        </w:tc>
        <w:tc>
          <w:tcPr>
            <w:tcW w:w="10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75" w:type="dxa"/>
            <w:tcBorders/>
            <w:shd w:fill="FFFFFF" w:val="clear"/>
            <w:vAlign w:val="center"/>
          </w:tcPr>
          <w:p>
            <w:pPr>
              <w:pStyle w:val="TableContents"/>
              <w:bidi w:val="0"/>
              <w:spacing w:before="0" w:after="283"/>
              <w:ind w:left="0" w:right="0" w:hanging="0"/>
              <w:jc w:val="left"/>
              <w:rPr/>
            </w:pPr>
            <w:r>
              <w:rPr/>
              <w:t> </w:t>
            </w:r>
          </w:p>
        </w:tc>
        <w:tc>
          <w:tcPr>
            <w:tcW w:w="158"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20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(0.08</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ind w:left="0" w:right="0" w:hanging="0"/>
              <w:jc w:val="left"/>
              <w:rPr/>
            </w:pPr>
            <w:r>
              <w:rPr/>
              <w:t> </w:t>
            </w:r>
          </w:p>
        </w:tc>
        <w:tc>
          <w:tcPr>
            <w:tcW w:w="154"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174"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(0.37</w:t>
            </w:r>
          </w:p>
        </w:tc>
        <w:tc>
          <w:tcPr>
            <w:tcW w:w="98"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73" w:type="dxa"/>
            <w:tcBorders/>
            <w:shd w:fill="FFFFFF" w:val="clear"/>
            <w:vAlign w:val="center"/>
          </w:tcPr>
          <w:p>
            <w:pPr>
              <w:pStyle w:val="TableContents"/>
              <w:bidi w:val="0"/>
              <w:spacing w:before="0" w:after="283"/>
              <w:ind w:left="0" w:right="0" w:hanging="0"/>
              <w:jc w:val="left"/>
              <w:rPr/>
            </w:pPr>
            <w:r>
              <w:rPr/>
              <w:t> </w:t>
            </w:r>
          </w:p>
        </w:tc>
        <w:tc>
          <w:tcPr>
            <w:tcW w:w="154"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174"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(0.52</w:t>
            </w:r>
          </w:p>
        </w:tc>
        <w:tc>
          <w:tcPr>
            <w:tcW w:w="87"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The accompanying notes are an integral part of these unaudited Condensed Consolidated Financial Statements.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5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283"/>
        <w:jc w:val="left"/>
        <w:rPr/>
      </w:pPr>
      <w:r>
        <w:rPr/>
        <w:t xml:space="preserve">  </w:t>
      </w:r>
    </w:p>
    <w:p>
      <w:pPr>
        <w:pStyle w:val="TextBody"/>
        <w:bidi w:val="0"/>
        <w:spacing w:before="0" w:after="0"/>
        <w:ind w:left="0" w:right="0" w:hanging="0"/>
        <w:jc w:val="center"/>
        <w:rPr>
          <w:rFonts w:ascii="Times New Roman;Times;serif" w:hAnsi="Times New Roman;Times;serif"/>
          <w:b/>
          <w:sz w:val="20"/>
        </w:rPr>
      </w:pPr>
      <w:bookmarkStart w:id="8" w:name="se"/>
      <w:bookmarkEnd w:id="8"/>
      <w:r>
        <w:rPr>
          <w:rFonts w:ascii="Times New Roman;Times;serif" w:hAnsi="Times New Roman;Times;serif"/>
          <w:b/>
          <w:sz w:val="20"/>
        </w:rPr>
        <w:t>U.S. ENERGY CORP. AND SUBSIDIARIES</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UNAUDITED CONDENSED CONSOLIDATED STATEMENTS OF CHANGES</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IN SHAREHOLDERS</w:t>
      </w:r>
      <w:r>
        <w:rPr>
          <w:rFonts w:ascii="Times New Roman" w:hAnsi="Times New Roman"/>
          <w:caps w:val="false"/>
          <w:smallCaps w:val="false"/>
          <w:sz w:val="20"/>
        </w:rPr>
        <w:t xml:space="preserve">’ </w:t>
      </w:r>
      <w:r>
        <w:rPr>
          <w:rFonts w:ascii="Times New Roman" w:hAnsi="Times New Roman"/>
          <w:b/>
          <w:caps w:val="false"/>
          <w:smallCaps w:val="false"/>
          <w:sz w:val="20"/>
        </w:rPr>
        <w:t>EQUITY</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FOR THE THREE AND</w:t>
      </w:r>
      <w:r>
        <w:rPr>
          <w:rFonts w:ascii="Times New Roman" w:hAnsi="Times New Roman"/>
          <w:b/>
          <w:caps/>
          <w:sz w:val="20"/>
        </w:rPr>
        <w:t xml:space="preserve"> nine months ended September 30, 2025 and 2024</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(in thousands, except share amounts)</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4905"/>
        <w:gridCol w:w="60"/>
        <w:gridCol w:w="60"/>
        <w:gridCol w:w="950"/>
        <w:gridCol w:w="80"/>
        <w:gridCol w:w="60"/>
        <w:gridCol w:w="184"/>
        <w:gridCol w:w="496"/>
        <w:gridCol w:w="80"/>
        <w:gridCol w:w="60"/>
        <w:gridCol w:w="140"/>
        <w:gridCol w:w="780"/>
        <w:gridCol w:w="80"/>
        <w:gridCol w:w="60"/>
        <w:gridCol w:w="158"/>
        <w:gridCol w:w="957"/>
        <w:gridCol w:w="80"/>
        <w:gridCol w:w="60"/>
        <w:gridCol w:w="125"/>
        <w:gridCol w:w="590"/>
        <w:gridCol w:w="240"/>
      </w:tblGrid>
      <w:tr>
        <w:trPr/>
        <w:tc>
          <w:tcPr>
            <w:tcW w:w="490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50" w:type="dxa"/>
            <w:tcBorders/>
            <w:shd w:fill="FFFFFF" w:val="clear"/>
            <w:vAlign w:val="center"/>
          </w:tcPr>
          <w:p>
            <w:pPr>
              <w:pStyle w:val="TableContents"/>
              <w:bidi w:val="0"/>
              <w:spacing w:before="0" w:after="283"/>
              <w:jc w:val="center"/>
              <w:rPr/>
            </w:pPr>
            <w:r>
              <w:rPr>
                <w:rStyle w:val="Emphasis"/>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4" w:type="dxa"/>
            <w:tcBorders/>
            <w:shd w:fill="FFFFFF" w:val="clear"/>
            <w:vAlign w:val="center"/>
          </w:tcPr>
          <w:p>
            <w:pPr>
              <w:pStyle w:val="TableContents"/>
              <w:bidi w:val="0"/>
              <w:spacing w:before="0" w:after="283"/>
              <w:jc w:val="left"/>
              <w:rPr/>
            </w:pPr>
            <w:r>
              <w:rPr/>
              <w:t> </w:t>
            </w:r>
          </w:p>
        </w:tc>
        <w:tc>
          <w:tcPr>
            <w:tcW w:w="496" w:type="dxa"/>
            <w:tcBorders/>
            <w:shd w:fill="FFFFFF" w:val="clear"/>
            <w:vAlign w:val="center"/>
          </w:tcPr>
          <w:p>
            <w:pPr>
              <w:pStyle w:val="TableContents"/>
              <w:bidi w:val="0"/>
              <w:spacing w:before="0" w:after="283"/>
              <w:jc w:val="center"/>
              <w:rPr/>
            </w:pPr>
            <w:r>
              <w:rPr>
                <w:rStyle w:val="Emphasis"/>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920" w:type="dxa"/>
            <w:gridSpan w:val="2"/>
            <w:tcBorders/>
            <w:shd w:fill="FFFFFF" w:val="cle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Additional</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8" w:type="dxa"/>
            <w:tcBorders/>
            <w:shd w:fill="FFFFFF" w:val="clear"/>
            <w:vAlign w:val="center"/>
          </w:tcPr>
          <w:p>
            <w:pPr>
              <w:pStyle w:val="TableContents"/>
              <w:bidi w:val="0"/>
              <w:spacing w:before="0" w:after="283"/>
              <w:jc w:val="left"/>
              <w:rPr/>
            </w:pPr>
            <w:r>
              <w:rPr/>
              <w:t> </w:t>
            </w:r>
          </w:p>
        </w:tc>
        <w:tc>
          <w:tcPr>
            <w:tcW w:w="957" w:type="dxa"/>
            <w:tcBorders/>
            <w:shd w:fill="FFFFFF" w:val="clear"/>
            <w:vAlign w:val="center"/>
          </w:tcPr>
          <w:p>
            <w:pPr>
              <w:pStyle w:val="TableContents"/>
              <w:bidi w:val="0"/>
              <w:spacing w:before="0" w:after="283"/>
              <w:jc w:val="center"/>
              <w:rPr/>
            </w:pPr>
            <w:r>
              <w:rPr>
                <w:rStyle w:val="Emphasis"/>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590" w:type="dxa"/>
            <w:tcBorders/>
            <w:shd w:fill="FFFFFF" w:val="clear"/>
            <w:vAlign w:val="center"/>
          </w:tcPr>
          <w:p>
            <w:pPr>
              <w:pStyle w:val="TableContents"/>
              <w:bidi w:val="0"/>
              <w:spacing w:before="0" w:after="283"/>
              <w:jc w:val="center"/>
              <w:rPr/>
            </w:pPr>
            <w:r>
              <w:rPr>
                <w:rStyle w:val="Emphasis"/>
              </w:rPr>
              <w:t> </w:t>
            </w:r>
          </w:p>
        </w:tc>
        <w:tc>
          <w:tcPr>
            <w:tcW w:w="240" w:type="dxa"/>
            <w:tcBorders/>
            <w:shd w:fill="FFFFFF" w:val="clear"/>
            <w:vAlign w:val="center"/>
          </w:tcPr>
          <w:p>
            <w:pPr>
              <w:pStyle w:val="TableContents"/>
              <w:bidi w:val="0"/>
              <w:spacing w:before="0" w:after="283"/>
              <w:jc w:val="left"/>
              <w:rPr/>
            </w:pPr>
            <w:r>
              <w:rPr/>
              <w:t> </w:t>
            </w:r>
          </w:p>
        </w:tc>
      </w:tr>
      <w:tr>
        <w:trPr/>
        <w:tc>
          <w:tcPr>
            <w:tcW w:w="490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830"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Common Stock</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920" w:type="dxa"/>
            <w:gridSpan w:val="2"/>
            <w:tcBorders/>
            <w:shd w:fill="FFFFFF" w:val="cle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Paid-in</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15" w:type="dxa"/>
            <w:gridSpan w:val="2"/>
            <w:tcBorders/>
            <w:shd w:fill="FFFFFF" w:val="cle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Accumulated</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590" w:type="dxa"/>
            <w:tcBorders/>
            <w:shd w:fill="FFFFFF" w:val="clear"/>
            <w:vAlign w:val="center"/>
          </w:tcPr>
          <w:p>
            <w:pPr>
              <w:pStyle w:val="TableContents"/>
              <w:bidi w:val="0"/>
              <w:spacing w:before="0" w:after="283"/>
              <w:jc w:val="center"/>
              <w:rPr/>
            </w:pPr>
            <w:r>
              <w:rPr>
                <w:rStyle w:val="Emphasis"/>
              </w:rPr>
              <w:t> </w:t>
            </w:r>
          </w:p>
        </w:tc>
        <w:tc>
          <w:tcPr>
            <w:tcW w:w="240" w:type="dxa"/>
            <w:tcBorders/>
            <w:shd w:fill="FFFFFF" w:val="clear"/>
            <w:vAlign w:val="center"/>
          </w:tcPr>
          <w:p>
            <w:pPr>
              <w:pStyle w:val="TableContents"/>
              <w:bidi w:val="0"/>
              <w:spacing w:before="0" w:after="283"/>
              <w:jc w:val="left"/>
              <w:rPr/>
            </w:pPr>
            <w:r>
              <w:rPr/>
              <w:t> </w:t>
            </w:r>
          </w:p>
        </w:tc>
      </w:tr>
      <w:tr>
        <w:trPr/>
        <w:tc>
          <w:tcPr>
            <w:tcW w:w="490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01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Shares</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68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Amount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92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Capital</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1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Deficit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71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Total</w:t>
            </w:r>
          </w:p>
        </w:tc>
        <w:tc>
          <w:tcPr>
            <w:tcW w:w="240" w:type="dxa"/>
            <w:tcBorders/>
            <w:shd w:fill="FFFFFF" w:val="clear"/>
            <w:vAlign w:val="center"/>
          </w:tcPr>
          <w:p>
            <w:pPr>
              <w:pStyle w:val="TableContents"/>
              <w:bidi w:val="0"/>
              <w:spacing w:before="0" w:after="283"/>
              <w:jc w:val="left"/>
              <w:rPr/>
            </w:pPr>
            <w:r>
              <w:rPr/>
              <w:t> </w:t>
            </w:r>
          </w:p>
        </w:tc>
      </w:tr>
      <w:tr>
        <w:trPr/>
        <w:tc>
          <w:tcPr>
            <w:tcW w:w="490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50"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4" w:type="dxa"/>
            <w:tcBorders/>
            <w:shd w:fill="FFFFFF" w:val="clear"/>
            <w:vAlign w:val="center"/>
          </w:tcPr>
          <w:p>
            <w:pPr>
              <w:pStyle w:val="TableContents"/>
              <w:bidi w:val="0"/>
              <w:spacing w:before="0" w:after="283"/>
              <w:jc w:val="left"/>
              <w:rPr/>
            </w:pPr>
            <w:r>
              <w:rPr/>
              <w:t> </w:t>
            </w:r>
          </w:p>
        </w:tc>
        <w:tc>
          <w:tcPr>
            <w:tcW w:w="496"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80"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8" w:type="dxa"/>
            <w:tcBorders/>
            <w:shd w:fill="FFFFFF" w:val="clear"/>
            <w:vAlign w:val="center"/>
          </w:tcPr>
          <w:p>
            <w:pPr>
              <w:pStyle w:val="TableContents"/>
              <w:bidi w:val="0"/>
              <w:spacing w:before="0" w:after="283"/>
              <w:jc w:val="left"/>
              <w:rPr/>
            </w:pPr>
            <w:r>
              <w:rPr/>
              <w:t> </w:t>
            </w:r>
          </w:p>
        </w:tc>
        <w:tc>
          <w:tcPr>
            <w:tcW w:w="957"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590" w:type="dxa"/>
            <w:tcBorders/>
            <w:shd w:fill="FFFFFF" w:val="clear"/>
            <w:vAlign w:val="center"/>
          </w:tcPr>
          <w:p>
            <w:pPr>
              <w:pStyle w:val="TableContents"/>
              <w:bidi w:val="0"/>
              <w:spacing w:before="0" w:after="283"/>
              <w:jc w:val="left"/>
              <w:rPr/>
            </w:pPr>
            <w:r>
              <w:rPr/>
              <w:t> </w:t>
            </w:r>
          </w:p>
        </w:tc>
        <w:tc>
          <w:tcPr>
            <w:tcW w:w="240" w:type="dxa"/>
            <w:tcBorders/>
            <w:shd w:fill="FFFFFF" w:val="clear"/>
            <w:vAlign w:val="center"/>
          </w:tcPr>
          <w:p>
            <w:pPr>
              <w:pStyle w:val="TableContents"/>
              <w:bidi w:val="0"/>
              <w:spacing w:before="0" w:after="283"/>
              <w:jc w:val="left"/>
              <w:rPr/>
            </w:pPr>
            <w:r>
              <w:rPr/>
              <w:t> </w:t>
            </w:r>
          </w:p>
        </w:tc>
      </w:tr>
      <w:tr>
        <w:trPr/>
        <w:tc>
          <w:tcPr>
            <w:tcW w:w="4905" w:type="dxa"/>
            <w:tcBorders/>
            <w:shd w:fill="CCEEFF" w:val="clear"/>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Balances, December 31, 2023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950"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25,333,870</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84"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496"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253</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40"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780"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218,403</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58"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957"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(172,134</w:t>
            </w:r>
          </w:p>
        </w:tc>
        <w:tc>
          <w:tcPr>
            <w:tcW w:w="80"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590"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46,522</w:t>
            </w:r>
          </w:p>
        </w:tc>
        <w:tc>
          <w:tcPr>
            <w:tcW w:w="240" w:type="dxa"/>
            <w:tcBorders/>
            <w:shd w:fill="CCEEFF" w:val="clear"/>
            <w:vAlign w:val="center"/>
          </w:tcPr>
          <w:p>
            <w:pPr>
              <w:pStyle w:val="TableContents"/>
              <w:bidi w:val="0"/>
              <w:spacing w:before="0" w:after="283"/>
              <w:jc w:val="left"/>
              <w:rPr/>
            </w:pPr>
            <w:r>
              <w:rPr/>
              <w:t> </w:t>
            </w:r>
          </w:p>
        </w:tc>
      </w:tr>
      <w:tr>
        <w:trPr/>
        <w:tc>
          <w:tcPr>
            <w:tcW w:w="4905" w:type="dxa"/>
            <w:tcBorders/>
            <w:shd w:fill="FFFFFF" w:val="clear"/>
            <w:vAlign w:val="center"/>
          </w:tcPr>
          <w:p>
            <w:pPr>
              <w:pStyle w:val="TableContents"/>
              <w:bidi w:val="0"/>
              <w:spacing w:before="0" w:after="0"/>
              <w:ind w:left="180" w:right="0" w:hanging="0"/>
              <w:jc w:val="left"/>
              <w:rPr>
                <w:rFonts w:ascii="Times New Roman" w:hAnsi="Times New Roman"/>
                <w:sz w:val="20"/>
              </w:rPr>
            </w:pPr>
            <w:r>
              <w:rPr>
                <w:rFonts w:ascii="Times New Roman" w:hAnsi="Times New Roman"/>
                <w:sz w:val="20"/>
              </w:rPr>
              <w:t>Stock-based compensation</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50" w:type="dxa"/>
            <w:tcBorders/>
            <w:shd w:fill="FFFFFF" w:val="clear"/>
            <w:vAlign w:val="center"/>
          </w:tcPr>
          <w:p>
            <w:pPr>
              <w:pStyle w:val="TableContents"/>
              <w:bidi w:val="0"/>
              <w:spacing w:before="0" w:after="283"/>
              <w:jc w:val="right"/>
              <w:rPr/>
            </w:pPr>
            <w:r>
              <w:rPr>
                <w:rStyle w:val="Emphasis"/>
                <w:rFonts w:ascii="Times New Roman" w:hAnsi="Times New Roman"/>
                <w:sz w:val="20"/>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4" w:type="dxa"/>
            <w:tcBorders/>
            <w:shd w:fill="FFFFFF" w:val="clear"/>
            <w:vAlign w:val="center"/>
          </w:tcPr>
          <w:p>
            <w:pPr>
              <w:pStyle w:val="TableContents"/>
              <w:bidi w:val="0"/>
              <w:spacing w:before="0" w:after="283"/>
              <w:jc w:val="left"/>
              <w:rPr/>
            </w:pPr>
            <w:r>
              <w:rPr/>
              <w:t> </w:t>
            </w:r>
          </w:p>
        </w:tc>
        <w:tc>
          <w:tcPr>
            <w:tcW w:w="496" w:type="dxa"/>
            <w:tcBorders/>
            <w:shd w:fill="FFFF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80" w:type="dxa"/>
            <w:tcBorders/>
            <w:shd w:fill="FFFF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200</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8" w:type="dxa"/>
            <w:tcBorders/>
            <w:shd w:fill="FFFFFF" w:val="clear"/>
            <w:vAlign w:val="center"/>
          </w:tcPr>
          <w:p>
            <w:pPr>
              <w:pStyle w:val="TableContents"/>
              <w:bidi w:val="0"/>
              <w:spacing w:before="0" w:after="283"/>
              <w:jc w:val="left"/>
              <w:rPr/>
            </w:pPr>
            <w:r>
              <w:rPr/>
              <w:t> </w:t>
            </w:r>
          </w:p>
        </w:tc>
        <w:tc>
          <w:tcPr>
            <w:tcW w:w="957" w:type="dxa"/>
            <w:tcBorders/>
            <w:shd w:fill="FFFF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590" w:type="dxa"/>
            <w:tcBorders/>
            <w:shd w:fill="FFFF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200</w:t>
            </w:r>
          </w:p>
        </w:tc>
        <w:tc>
          <w:tcPr>
            <w:tcW w:w="240" w:type="dxa"/>
            <w:tcBorders/>
            <w:shd w:fill="FFFFFF" w:val="clear"/>
            <w:vAlign w:val="center"/>
          </w:tcPr>
          <w:p>
            <w:pPr>
              <w:pStyle w:val="TableContents"/>
              <w:bidi w:val="0"/>
              <w:spacing w:before="0" w:after="283"/>
              <w:jc w:val="left"/>
              <w:rPr/>
            </w:pPr>
            <w:r>
              <w:rPr/>
              <w:t> </w:t>
            </w:r>
          </w:p>
        </w:tc>
      </w:tr>
      <w:tr>
        <w:trPr/>
        <w:tc>
          <w:tcPr>
            <w:tcW w:w="4905" w:type="dxa"/>
            <w:tcBorders/>
            <w:shd w:fill="CCEE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Vesting of restricted stock awards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950"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426,104</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4" w:type="dxa"/>
            <w:tcBorders/>
            <w:shd w:fill="CCEEFF" w:val="clear"/>
            <w:vAlign w:val="center"/>
          </w:tcPr>
          <w:p>
            <w:pPr>
              <w:pStyle w:val="TableContents"/>
              <w:bidi w:val="0"/>
              <w:spacing w:before="0" w:after="283"/>
              <w:ind w:left="0" w:right="0" w:hanging="0"/>
              <w:jc w:val="left"/>
              <w:rPr/>
            </w:pPr>
            <w:r>
              <w:rPr/>
              <w:t> </w:t>
            </w:r>
          </w:p>
        </w:tc>
        <w:tc>
          <w:tcPr>
            <w:tcW w:w="496"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ind w:left="0" w:right="0" w:hanging="0"/>
              <w:jc w:val="left"/>
              <w:rPr/>
            </w:pPr>
            <w:r>
              <w:rPr/>
              <w:t> </w:t>
            </w:r>
          </w:p>
        </w:tc>
        <w:tc>
          <w:tcPr>
            <w:tcW w:w="780"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w:t>
            </w:r>
          </w:p>
        </w:tc>
        <w:tc>
          <w:tcPr>
            <w:tcW w:w="80"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bidi w:val="0"/>
              <w:spacing w:before="0" w:after="283"/>
              <w:jc w:val="left"/>
              <w:rPr/>
            </w:pPr>
            <w:r>
              <w:rPr/>
              <w:t> </w:t>
            </w:r>
          </w:p>
        </w:tc>
        <w:tc>
          <w:tcPr>
            <w:tcW w:w="158" w:type="dxa"/>
            <w:tcBorders/>
            <w:shd w:fill="CCEEFF" w:val="clear"/>
            <w:vAlign w:val="center"/>
          </w:tcPr>
          <w:p>
            <w:pPr>
              <w:pStyle w:val="TableContents"/>
              <w:bidi w:val="0"/>
              <w:spacing w:before="0" w:after="283"/>
              <w:ind w:left="0" w:right="0" w:hanging="0"/>
              <w:jc w:val="left"/>
              <w:rPr/>
            </w:pPr>
            <w:r>
              <w:rPr/>
              <w:t> </w:t>
            </w:r>
          </w:p>
        </w:tc>
        <w:tc>
          <w:tcPr>
            <w:tcW w:w="957"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590"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w:t>
            </w:r>
          </w:p>
        </w:tc>
        <w:tc>
          <w:tcPr>
            <w:tcW w:w="240" w:type="dxa"/>
            <w:tcBorders/>
            <w:shd w:fill="CCEEFF" w:val="clear"/>
            <w:vAlign w:val="center"/>
          </w:tcPr>
          <w:p>
            <w:pPr>
              <w:pStyle w:val="TableContents"/>
              <w:bidi w:val="0"/>
              <w:spacing w:before="0" w:after="283"/>
              <w:jc w:val="left"/>
              <w:rPr/>
            </w:pPr>
            <w:r>
              <w:rPr/>
              <w:t> </w:t>
            </w:r>
          </w:p>
        </w:tc>
      </w:tr>
      <w:tr>
        <w:trPr/>
        <w:tc>
          <w:tcPr>
            <w:tcW w:w="4905" w:type="dxa"/>
            <w:tcBorders/>
            <w:shd w:fill="FFFF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Tax withholding for restricted stock vesting</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950"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(98,761</w:t>
            </w:r>
          </w:p>
        </w:tc>
        <w:tc>
          <w:tcPr>
            <w:tcW w:w="80"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FFFFFF" w:val="clear"/>
            <w:vAlign w:val="center"/>
          </w:tcPr>
          <w:p>
            <w:pPr>
              <w:pStyle w:val="TableContents"/>
              <w:bidi w:val="0"/>
              <w:spacing w:before="0" w:after="283"/>
              <w:jc w:val="left"/>
              <w:rPr/>
            </w:pPr>
            <w:r>
              <w:rPr/>
              <w:t> </w:t>
            </w:r>
          </w:p>
        </w:tc>
        <w:tc>
          <w:tcPr>
            <w:tcW w:w="184" w:type="dxa"/>
            <w:tcBorders/>
            <w:shd w:fill="FFFFFF" w:val="clear"/>
            <w:vAlign w:val="center"/>
          </w:tcPr>
          <w:p>
            <w:pPr>
              <w:pStyle w:val="TableContents"/>
              <w:bidi w:val="0"/>
              <w:spacing w:before="0" w:after="283"/>
              <w:ind w:left="0" w:right="0" w:hanging="0"/>
              <w:jc w:val="left"/>
              <w:rPr/>
            </w:pPr>
            <w:r>
              <w:rPr/>
              <w:t> </w:t>
            </w:r>
          </w:p>
        </w:tc>
        <w:tc>
          <w:tcPr>
            <w:tcW w:w="496"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w:t>
            </w:r>
          </w:p>
        </w:tc>
        <w:tc>
          <w:tcPr>
            <w:tcW w:w="80"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ind w:left="0" w:right="0" w:hanging="0"/>
              <w:jc w:val="left"/>
              <w:rPr/>
            </w:pPr>
            <w:r>
              <w:rPr/>
              <w:t> </w:t>
            </w:r>
          </w:p>
        </w:tc>
        <w:tc>
          <w:tcPr>
            <w:tcW w:w="780"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(104</w:t>
            </w:r>
          </w:p>
        </w:tc>
        <w:tc>
          <w:tcPr>
            <w:tcW w:w="80"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FFFFFF" w:val="clear"/>
            <w:vAlign w:val="center"/>
          </w:tcPr>
          <w:p>
            <w:pPr>
              <w:pStyle w:val="TableContents"/>
              <w:bidi w:val="0"/>
              <w:spacing w:before="0" w:after="283"/>
              <w:jc w:val="left"/>
              <w:rPr/>
            </w:pPr>
            <w:r>
              <w:rPr/>
              <w:t> </w:t>
            </w:r>
          </w:p>
        </w:tc>
        <w:tc>
          <w:tcPr>
            <w:tcW w:w="158" w:type="dxa"/>
            <w:tcBorders/>
            <w:shd w:fill="FFFFFF" w:val="clear"/>
            <w:vAlign w:val="center"/>
          </w:tcPr>
          <w:p>
            <w:pPr>
              <w:pStyle w:val="TableContents"/>
              <w:bidi w:val="0"/>
              <w:spacing w:before="0" w:after="283"/>
              <w:ind w:left="0" w:right="0" w:hanging="0"/>
              <w:jc w:val="left"/>
              <w:rPr/>
            </w:pPr>
            <w:r>
              <w:rPr/>
              <w:t> </w:t>
            </w:r>
          </w:p>
        </w:tc>
        <w:tc>
          <w:tcPr>
            <w:tcW w:w="957"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590"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(105</w:t>
            </w:r>
          </w:p>
        </w:tc>
        <w:tc>
          <w:tcPr>
            <w:tcW w:w="240"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r>
        <w:trPr/>
        <w:tc>
          <w:tcPr>
            <w:tcW w:w="4905" w:type="dxa"/>
            <w:tcBorders/>
            <w:shd w:fill="CCEE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Share repurchases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950" w:type="dxa"/>
            <w:tcBorders/>
            <w:shd w:fill="CCEEFF" w:val="clear"/>
            <w:vAlign w:val="center"/>
          </w:tcPr>
          <w:p>
            <w:pPr>
              <w:pStyle w:val="TableContents"/>
              <w:bidi w:val="0"/>
              <w:spacing w:before="0" w:after="283"/>
              <w:ind w:left="0" w:right="0" w:hanging="0"/>
              <w:jc w:val="right"/>
              <w:rPr/>
            </w:pPr>
            <w:r>
              <w:rPr>
                <w:rStyle w:val="Emphasis"/>
                <w:rFonts w:ascii="Times New Roman" w:hAnsi="Times New Roman"/>
                <w:sz w:val="20"/>
              </w:rPr>
              <w:t>(318,200</w:t>
            </w:r>
          </w:p>
        </w:tc>
        <w:tc>
          <w:tcPr>
            <w:tcW w:w="80"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184" w:type="dxa"/>
            <w:tcBorders/>
            <w:shd w:fill="CCEEFF" w:val="clear"/>
            <w:vAlign w:val="center"/>
          </w:tcPr>
          <w:p>
            <w:pPr>
              <w:pStyle w:val="TableContents"/>
              <w:bidi w:val="0"/>
              <w:spacing w:before="0" w:after="283"/>
              <w:ind w:left="0" w:right="0" w:hanging="0"/>
              <w:jc w:val="left"/>
              <w:rPr/>
            </w:pPr>
            <w:r>
              <w:rPr/>
              <w:t> </w:t>
            </w:r>
          </w:p>
        </w:tc>
        <w:tc>
          <w:tcPr>
            <w:tcW w:w="496"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w:t>
            </w:r>
          </w:p>
        </w:tc>
        <w:tc>
          <w:tcPr>
            <w:tcW w:w="80"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140" w:type="dxa"/>
            <w:tcBorders/>
            <w:shd w:fill="CCEEFF" w:val="clear"/>
            <w:vAlign w:val="center"/>
          </w:tcPr>
          <w:p>
            <w:pPr>
              <w:pStyle w:val="TableContents"/>
              <w:bidi w:val="0"/>
              <w:spacing w:before="0" w:after="283"/>
              <w:ind w:left="0" w:right="0" w:hanging="0"/>
              <w:jc w:val="left"/>
              <w:rPr/>
            </w:pPr>
            <w:r>
              <w:rPr/>
              <w:t> </w:t>
            </w:r>
          </w:p>
        </w:tc>
        <w:tc>
          <w:tcPr>
            <w:tcW w:w="780"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(334</w:t>
            </w:r>
          </w:p>
        </w:tc>
        <w:tc>
          <w:tcPr>
            <w:tcW w:w="80"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158" w:type="dxa"/>
            <w:tcBorders/>
            <w:shd w:fill="CCEEFF" w:val="clear"/>
            <w:vAlign w:val="center"/>
          </w:tcPr>
          <w:p>
            <w:pPr>
              <w:pStyle w:val="TableContents"/>
              <w:bidi w:val="0"/>
              <w:spacing w:before="0" w:after="283"/>
              <w:ind w:left="0" w:right="0" w:hanging="0"/>
              <w:jc w:val="left"/>
              <w:rPr/>
            </w:pPr>
            <w:r>
              <w:rPr/>
              <w:t> </w:t>
            </w:r>
          </w:p>
        </w:tc>
        <w:tc>
          <w:tcPr>
            <w:tcW w:w="957"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590"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(337</w:t>
            </w:r>
          </w:p>
        </w:tc>
        <w:tc>
          <w:tcPr>
            <w:tcW w:w="240"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r>
        <w:trPr/>
        <w:tc>
          <w:tcPr>
            <w:tcW w:w="4905" w:type="dxa"/>
            <w:tcBorders/>
            <w:shd w:fill="FFFF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Net loss</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5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pPr>
            <w:r>
              <w:rPr>
                <w:rStyle w:val="Emphasis"/>
                <w:rFonts w:ascii="Times New Roman" w:hAnsi="Times New Roman"/>
                <w:sz w:val="20"/>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4"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496"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78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8"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57"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(9,537</w:t>
            </w:r>
          </w:p>
        </w:tc>
        <w:tc>
          <w:tcPr>
            <w:tcW w:w="80"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59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(9,537</w:t>
            </w:r>
          </w:p>
        </w:tc>
        <w:tc>
          <w:tcPr>
            <w:tcW w:w="240"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r>
        <w:trPr/>
        <w:tc>
          <w:tcPr>
            <w:tcW w:w="4905" w:type="dxa"/>
            <w:tcBorders/>
            <w:shd w:fill="CCEEFF" w:val="clear"/>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Balances, March 31, 2024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950"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25,343,013</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84"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496"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253</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40"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780"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218,161</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58"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957"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(181,671</w:t>
            </w:r>
          </w:p>
        </w:tc>
        <w:tc>
          <w:tcPr>
            <w:tcW w:w="80"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590"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36,743</w:t>
            </w:r>
          </w:p>
        </w:tc>
        <w:tc>
          <w:tcPr>
            <w:tcW w:w="240" w:type="dxa"/>
            <w:tcBorders/>
            <w:shd w:fill="CCEEFF" w:val="clear"/>
            <w:vAlign w:val="center"/>
          </w:tcPr>
          <w:p>
            <w:pPr>
              <w:pStyle w:val="TableContents"/>
              <w:bidi w:val="0"/>
              <w:spacing w:before="0" w:after="283"/>
              <w:jc w:val="left"/>
              <w:rPr/>
            </w:pPr>
            <w:r>
              <w:rPr/>
              <w:t> </w:t>
            </w:r>
          </w:p>
        </w:tc>
      </w:tr>
      <w:tr>
        <w:trPr/>
        <w:tc>
          <w:tcPr>
            <w:tcW w:w="4905" w:type="dxa"/>
            <w:tcBorders/>
            <w:shd w:fill="FFFFFF" w:val="clear"/>
            <w:vAlign w:val="center"/>
          </w:tcPr>
          <w:p>
            <w:pPr>
              <w:pStyle w:val="TableContents"/>
              <w:bidi w:val="0"/>
              <w:spacing w:before="0" w:after="0"/>
              <w:ind w:left="180" w:right="180" w:hanging="0"/>
              <w:jc w:val="left"/>
              <w:rPr>
                <w:rFonts w:ascii="Times New Roman" w:hAnsi="Times New Roman"/>
                <w:sz w:val="20"/>
              </w:rPr>
            </w:pPr>
            <w:r>
              <w:rPr>
                <w:rFonts w:ascii="Times New Roman" w:hAnsi="Times New Roman"/>
                <w:sz w:val="20"/>
              </w:rPr>
              <w:t>Shares issued for acquisition</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50" w:type="dxa"/>
            <w:tcBorders/>
            <w:shd w:fill="FFFF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2,600,000</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4" w:type="dxa"/>
            <w:tcBorders/>
            <w:shd w:fill="FFFFFF" w:val="clear"/>
            <w:vAlign w:val="center"/>
          </w:tcPr>
          <w:p>
            <w:pPr>
              <w:pStyle w:val="TableContents"/>
              <w:bidi w:val="0"/>
              <w:spacing w:before="0" w:after="283"/>
              <w:jc w:val="left"/>
              <w:rPr/>
            </w:pPr>
            <w:r>
              <w:rPr/>
              <w:t> </w:t>
            </w:r>
          </w:p>
        </w:tc>
        <w:tc>
          <w:tcPr>
            <w:tcW w:w="496" w:type="dxa"/>
            <w:tcBorders/>
            <w:shd w:fill="FFFF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26</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80" w:type="dxa"/>
            <w:tcBorders/>
            <w:shd w:fill="FFFF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2,652</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8" w:type="dxa"/>
            <w:tcBorders/>
            <w:shd w:fill="FFFFFF" w:val="clear"/>
            <w:vAlign w:val="center"/>
          </w:tcPr>
          <w:p>
            <w:pPr>
              <w:pStyle w:val="TableContents"/>
              <w:bidi w:val="0"/>
              <w:spacing w:before="0" w:after="283"/>
              <w:jc w:val="left"/>
              <w:rPr/>
            </w:pPr>
            <w:r>
              <w:rPr/>
              <w:t> </w:t>
            </w:r>
          </w:p>
        </w:tc>
        <w:tc>
          <w:tcPr>
            <w:tcW w:w="957" w:type="dxa"/>
            <w:tcBorders/>
            <w:shd w:fill="FFFF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590" w:type="dxa"/>
            <w:tcBorders/>
            <w:shd w:fill="FFFF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2,678</w:t>
            </w:r>
          </w:p>
        </w:tc>
        <w:tc>
          <w:tcPr>
            <w:tcW w:w="240" w:type="dxa"/>
            <w:tcBorders/>
            <w:shd w:fill="FFFFFF" w:val="clear"/>
            <w:vAlign w:val="center"/>
          </w:tcPr>
          <w:p>
            <w:pPr>
              <w:pStyle w:val="TableContents"/>
              <w:bidi w:val="0"/>
              <w:spacing w:before="0" w:after="283"/>
              <w:jc w:val="left"/>
              <w:rPr/>
            </w:pPr>
            <w:r>
              <w:rPr/>
              <w:t> </w:t>
            </w:r>
          </w:p>
        </w:tc>
      </w:tr>
      <w:tr>
        <w:trPr/>
        <w:tc>
          <w:tcPr>
            <w:tcW w:w="4905" w:type="dxa"/>
            <w:tcBorders/>
            <w:shd w:fill="CCEEFF" w:val="clear"/>
            <w:vAlign w:val="center"/>
          </w:tcPr>
          <w:p>
            <w:pPr>
              <w:pStyle w:val="TableContents"/>
              <w:bidi w:val="0"/>
              <w:spacing w:before="0" w:after="0"/>
              <w:ind w:left="180" w:right="0" w:hanging="0"/>
              <w:jc w:val="left"/>
              <w:rPr>
                <w:rFonts w:ascii="Times New Roman" w:hAnsi="Times New Roman"/>
                <w:sz w:val="20"/>
              </w:rPr>
            </w:pPr>
            <w:r>
              <w:rPr>
                <w:rFonts w:ascii="Times New Roman" w:hAnsi="Times New Roman"/>
                <w:sz w:val="20"/>
              </w:rPr>
              <w:t>Stock-based compensation</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50" w:type="dxa"/>
            <w:tcBorders/>
            <w:shd w:fill="CCEEFF" w:val="clear"/>
            <w:vAlign w:val="center"/>
          </w:tcPr>
          <w:p>
            <w:pPr>
              <w:pStyle w:val="TableContents"/>
              <w:bidi w:val="0"/>
              <w:spacing w:before="0" w:after="283"/>
              <w:jc w:val="right"/>
              <w:rPr/>
            </w:pPr>
            <w:r>
              <w:rPr>
                <w:rStyle w:val="Emphasis"/>
                <w:rFonts w:ascii="Times New Roman" w:hAnsi="Times New Roman"/>
                <w:sz w:val="20"/>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4" w:type="dxa"/>
            <w:tcBorders/>
            <w:shd w:fill="CCEEFF" w:val="clear"/>
            <w:vAlign w:val="center"/>
          </w:tcPr>
          <w:p>
            <w:pPr>
              <w:pStyle w:val="TableContents"/>
              <w:bidi w:val="0"/>
              <w:spacing w:before="0" w:after="283"/>
              <w:jc w:val="left"/>
              <w:rPr/>
            </w:pPr>
            <w:r>
              <w:rPr/>
              <w:t> </w:t>
            </w:r>
          </w:p>
        </w:tc>
        <w:tc>
          <w:tcPr>
            <w:tcW w:w="496" w:type="dxa"/>
            <w:tcBorders/>
            <w:shd w:fill="CCEE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80" w:type="dxa"/>
            <w:tcBorders/>
            <w:shd w:fill="CCEE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476</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8" w:type="dxa"/>
            <w:tcBorders/>
            <w:shd w:fill="CCEEFF" w:val="clear"/>
            <w:vAlign w:val="center"/>
          </w:tcPr>
          <w:p>
            <w:pPr>
              <w:pStyle w:val="TableContents"/>
              <w:bidi w:val="0"/>
              <w:spacing w:before="0" w:after="283"/>
              <w:jc w:val="left"/>
              <w:rPr/>
            </w:pPr>
            <w:r>
              <w:rPr/>
              <w:t> </w:t>
            </w:r>
          </w:p>
        </w:tc>
        <w:tc>
          <w:tcPr>
            <w:tcW w:w="957" w:type="dxa"/>
            <w:tcBorders/>
            <w:shd w:fill="CCEE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476</w:t>
            </w:r>
          </w:p>
        </w:tc>
        <w:tc>
          <w:tcPr>
            <w:tcW w:w="240" w:type="dxa"/>
            <w:tcBorders/>
            <w:shd w:fill="CCEEFF" w:val="clear"/>
            <w:vAlign w:val="center"/>
          </w:tcPr>
          <w:p>
            <w:pPr>
              <w:pStyle w:val="TableContents"/>
              <w:bidi w:val="0"/>
              <w:spacing w:before="0" w:after="283"/>
              <w:ind w:left="0" w:right="0" w:hanging="0"/>
              <w:jc w:val="left"/>
              <w:rPr/>
            </w:pPr>
            <w:r>
              <w:rPr/>
              <w:t> </w:t>
            </w:r>
          </w:p>
        </w:tc>
      </w:tr>
      <w:tr>
        <w:trPr/>
        <w:tc>
          <w:tcPr>
            <w:tcW w:w="4905"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Vesting of restricted stock awards</w:t>
            </w:r>
          </w:p>
        </w:tc>
        <w:tc>
          <w:tcPr>
            <w:tcW w:w="6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950"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280,000</w:t>
            </w:r>
          </w:p>
        </w:tc>
        <w:tc>
          <w:tcPr>
            <w:tcW w:w="8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84" w:type="dxa"/>
            <w:tcBorders/>
            <w:shd w:fill="FFFFFF" w:val="clear"/>
            <w:vAlign w:val="center"/>
          </w:tcPr>
          <w:p>
            <w:pPr>
              <w:pStyle w:val="TableContents"/>
              <w:bidi w:val="0"/>
              <w:spacing w:before="0" w:after="0"/>
              <w:ind w:left="0" w:right="0" w:hanging="0"/>
              <w:jc w:val="left"/>
              <w:rPr/>
            </w:pPr>
            <w:r>
              <w:rPr/>
              <w:t> </w:t>
            </w:r>
          </w:p>
        </w:tc>
        <w:tc>
          <w:tcPr>
            <w:tcW w:w="496"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3</w:t>
            </w:r>
          </w:p>
        </w:tc>
        <w:tc>
          <w:tcPr>
            <w:tcW w:w="8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40" w:type="dxa"/>
            <w:tcBorders/>
            <w:shd w:fill="FFFFFF" w:val="clear"/>
            <w:vAlign w:val="center"/>
          </w:tcPr>
          <w:p>
            <w:pPr>
              <w:pStyle w:val="TableContents"/>
              <w:bidi w:val="0"/>
              <w:spacing w:before="0" w:after="0"/>
              <w:ind w:left="0" w:right="0" w:hanging="0"/>
              <w:jc w:val="left"/>
              <w:rPr/>
            </w:pPr>
            <w:r>
              <w:rPr/>
              <w:t> </w:t>
            </w:r>
          </w:p>
        </w:tc>
        <w:tc>
          <w:tcPr>
            <w:tcW w:w="780"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(3</w:t>
            </w:r>
          </w:p>
        </w:tc>
        <w:tc>
          <w:tcPr>
            <w:tcW w:w="80"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c>
          <w:tcPr>
            <w:tcW w:w="60" w:type="dxa"/>
            <w:tcBorders/>
            <w:shd w:fill="FFFFFF" w:val="clear"/>
            <w:vAlign w:val="center"/>
          </w:tcPr>
          <w:p>
            <w:pPr>
              <w:pStyle w:val="TableContents"/>
              <w:bidi w:val="0"/>
              <w:spacing w:before="0" w:after="0"/>
              <w:ind w:left="0" w:right="0" w:hanging="0"/>
              <w:jc w:val="left"/>
              <w:rPr/>
            </w:pPr>
            <w:r>
              <w:rPr/>
              <w:t> </w:t>
            </w:r>
          </w:p>
        </w:tc>
        <w:tc>
          <w:tcPr>
            <w:tcW w:w="158" w:type="dxa"/>
            <w:tcBorders/>
            <w:shd w:fill="FFFFFF" w:val="clear"/>
            <w:vAlign w:val="center"/>
          </w:tcPr>
          <w:p>
            <w:pPr>
              <w:pStyle w:val="TableContents"/>
              <w:bidi w:val="0"/>
              <w:spacing w:before="0" w:after="0"/>
              <w:ind w:left="0" w:right="0" w:hanging="0"/>
              <w:jc w:val="left"/>
              <w:rPr/>
            </w:pPr>
            <w:r>
              <w:rPr/>
              <w:t> </w:t>
            </w:r>
          </w:p>
        </w:tc>
        <w:tc>
          <w:tcPr>
            <w:tcW w:w="957"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w:t>
            </w:r>
          </w:p>
        </w:tc>
        <w:tc>
          <w:tcPr>
            <w:tcW w:w="8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25" w:type="dxa"/>
            <w:tcBorders/>
            <w:shd w:fill="FFFFFF" w:val="clear"/>
            <w:vAlign w:val="center"/>
          </w:tcPr>
          <w:p>
            <w:pPr>
              <w:pStyle w:val="TableContents"/>
              <w:bidi w:val="0"/>
              <w:spacing w:before="0" w:after="0"/>
              <w:ind w:left="0" w:right="0" w:hanging="0"/>
              <w:jc w:val="left"/>
              <w:rPr/>
            </w:pPr>
            <w:r>
              <w:rPr/>
              <w:t> </w:t>
            </w:r>
          </w:p>
        </w:tc>
        <w:tc>
          <w:tcPr>
            <w:tcW w:w="590"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w:t>
            </w:r>
          </w:p>
        </w:tc>
        <w:tc>
          <w:tcPr>
            <w:tcW w:w="240" w:type="dxa"/>
            <w:tcBorders/>
            <w:shd w:fill="FFFFFF" w:val="clear"/>
            <w:vAlign w:val="center"/>
          </w:tcPr>
          <w:p>
            <w:pPr>
              <w:pStyle w:val="TableContents"/>
              <w:bidi w:val="0"/>
              <w:spacing w:before="0" w:after="0"/>
              <w:jc w:val="left"/>
              <w:rPr/>
            </w:pPr>
            <w:r>
              <w:rPr/>
              <w:t> </w:t>
            </w:r>
          </w:p>
        </w:tc>
      </w:tr>
      <w:tr>
        <w:trPr/>
        <w:tc>
          <w:tcPr>
            <w:tcW w:w="4905" w:type="dxa"/>
            <w:tcBorders/>
            <w:shd w:fill="CCEE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Tax withholding for restricted stock vesting</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50" w:type="dxa"/>
            <w:tcBorders/>
            <w:shd w:fill="CCEE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(24,754</w:t>
            </w:r>
          </w:p>
        </w:tc>
        <w:tc>
          <w:tcPr>
            <w:tcW w:w="80"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bidi w:val="0"/>
              <w:spacing w:before="0" w:after="283"/>
              <w:jc w:val="left"/>
              <w:rPr/>
            </w:pPr>
            <w:r>
              <w:rPr/>
              <w:t> </w:t>
            </w:r>
          </w:p>
        </w:tc>
        <w:tc>
          <w:tcPr>
            <w:tcW w:w="184" w:type="dxa"/>
            <w:tcBorders/>
            <w:shd w:fill="CCEEFF" w:val="clear"/>
            <w:vAlign w:val="center"/>
          </w:tcPr>
          <w:p>
            <w:pPr>
              <w:pStyle w:val="TableContents"/>
              <w:bidi w:val="0"/>
              <w:spacing w:before="0" w:after="283"/>
              <w:jc w:val="left"/>
              <w:rPr/>
            </w:pPr>
            <w:r>
              <w:rPr/>
              <w:t> </w:t>
            </w:r>
          </w:p>
        </w:tc>
        <w:tc>
          <w:tcPr>
            <w:tcW w:w="496" w:type="dxa"/>
            <w:tcBorders/>
            <w:shd w:fill="CCEE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80" w:type="dxa"/>
            <w:tcBorders/>
            <w:shd w:fill="CCEE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(27</w:t>
            </w:r>
          </w:p>
        </w:tc>
        <w:tc>
          <w:tcPr>
            <w:tcW w:w="80"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bidi w:val="0"/>
              <w:spacing w:before="0" w:after="283"/>
              <w:jc w:val="left"/>
              <w:rPr/>
            </w:pPr>
            <w:r>
              <w:rPr/>
              <w:t> </w:t>
            </w:r>
          </w:p>
        </w:tc>
        <w:tc>
          <w:tcPr>
            <w:tcW w:w="158" w:type="dxa"/>
            <w:tcBorders/>
            <w:shd w:fill="CCEEFF" w:val="clear"/>
            <w:vAlign w:val="center"/>
          </w:tcPr>
          <w:p>
            <w:pPr>
              <w:pStyle w:val="TableContents"/>
              <w:bidi w:val="0"/>
              <w:spacing w:before="0" w:after="283"/>
              <w:jc w:val="left"/>
              <w:rPr/>
            </w:pPr>
            <w:r>
              <w:rPr/>
              <w:t> </w:t>
            </w:r>
          </w:p>
        </w:tc>
        <w:tc>
          <w:tcPr>
            <w:tcW w:w="957" w:type="dxa"/>
            <w:tcBorders/>
            <w:shd w:fill="CCEE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(27</w:t>
            </w:r>
          </w:p>
        </w:tc>
        <w:tc>
          <w:tcPr>
            <w:tcW w:w="240"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r>
        <w:trPr/>
        <w:tc>
          <w:tcPr>
            <w:tcW w:w="4905" w:type="dxa"/>
            <w:tcBorders/>
            <w:shd w:fill="FFFFFF" w:val="clear"/>
            <w:vAlign w:val="center"/>
          </w:tcPr>
          <w:p>
            <w:pPr>
              <w:pStyle w:val="TableContents"/>
              <w:bidi w:val="0"/>
              <w:spacing w:before="0" w:after="0"/>
              <w:ind w:left="180" w:right="0" w:hanging="0"/>
              <w:jc w:val="left"/>
              <w:rPr>
                <w:rFonts w:ascii="Times New Roman" w:hAnsi="Times New Roman"/>
                <w:sz w:val="20"/>
              </w:rPr>
            </w:pPr>
            <w:r>
              <w:rPr>
                <w:rFonts w:ascii="Times New Roman" w:hAnsi="Times New Roman"/>
                <w:sz w:val="20"/>
              </w:rPr>
              <w:t>Share repurchases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50" w:type="dxa"/>
            <w:tcBorders/>
            <w:shd w:fill="FFFF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(145,300</w:t>
            </w:r>
          </w:p>
        </w:tc>
        <w:tc>
          <w:tcPr>
            <w:tcW w:w="80"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FFFFFF" w:val="clear"/>
            <w:vAlign w:val="center"/>
          </w:tcPr>
          <w:p>
            <w:pPr>
              <w:pStyle w:val="TableContents"/>
              <w:bidi w:val="0"/>
              <w:spacing w:before="0" w:after="283"/>
              <w:jc w:val="left"/>
              <w:rPr/>
            </w:pPr>
            <w:r>
              <w:rPr/>
              <w:t> </w:t>
            </w:r>
          </w:p>
        </w:tc>
        <w:tc>
          <w:tcPr>
            <w:tcW w:w="184" w:type="dxa"/>
            <w:tcBorders/>
            <w:shd w:fill="FFFFFF" w:val="clear"/>
            <w:vAlign w:val="center"/>
          </w:tcPr>
          <w:p>
            <w:pPr>
              <w:pStyle w:val="TableContents"/>
              <w:bidi w:val="0"/>
              <w:spacing w:before="0" w:after="283"/>
              <w:jc w:val="left"/>
              <w:rPr/>
            </w:pPr>
            <w:r>
              <w:rPr/>
              <w:t> </w:t>
            </w:r>
          </w:p>
        </w:tc>
        <w:tc>
          <w:tcPr>
            <w:tcW w:w="496" w:type="dxa"/>
            <w:tcBorders/>
            <w:shd w:fill="FFFF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(1</w:t>
            </w:r>
          </w:p>
        </w:tc>
        <w:tc>
          <w:tcPr>
            <w:tcW w:w="80"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80" w:type="dxa"/>
            <w:tcBorders/>
            <w:shd w:fill="FFFF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(167</w:t>
            </w:r>
          </w:p>
        </w:tc>
        <w:tc>
          <w:tcPr>
            <w:tcW w:w="80"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FFFFFF" w:val="clear"/>
            <w:vAlign w:val="center"/>
          </w:tcPr>
          <w:p>
            <w:pPr>
              <w:pStyle w:val="TableContents"/>
              <w:bidi w:val="0"/>
              <w:spacing w:before="0" w:after="283"/>
              <w:jc w:val="left"/>
              <w:rPr/>
            </w:pPr>
            <w:r>
              <w:rPr/>
              <w:t> </w:t>
            </w:r>
          </w:p>
        </w:tc>
        <w:tc>
          <w:tcPr>
            <w:tcW w:w="158" w:type="dxa"/>
            <w:tcBorders/>
            <w:shd w:fill="FFFFFF" w:val="clear"/>
            <w:vAlign w:val="center"/>
          </w:tcPr>
          <w:p>
            <w:pPr>
              <w:pStyle w:val="TableContents"/>
              <w:bidi w:val="0"/>
              <w:spacing w:before="0" w:after="283"/>
              <w:jc w:val="left"/>
              <w:rPr/>
            </w:pPr>
            <w:r>
              <w:rPr/>
              <w:t> </w:t>
            </w:r>
          </w:p>
        </w:tc>
        <w:tc>
          <w:tcPr>
            <w:tcW w:w="957" w:type="dxa"/>
            <w:tcBorders/>
            <w:shd w:fill="FFFF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590" w:type="dxa"/>
            <w:tcBorders/>
            <w:shd w:fill="FFFF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(168</w:t>
            </w:r>
          </w:p>
        </w:tc>
        <w:tc>
          <w:tcPr>
            <w:tcW w:w="240" w:type="dxa"/>
            <w:tcBorders/>
            <w:shd w:fill="FFFF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r>
      <w:tr>
        <w:trPr/>
        <w:tc>
          <w:tcPr>
            <w:tcW w:w="4905"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Net loss</w:t>
            </w:r>
          </w:p>
        </w:tc>
        <w:tc>
          <w:tcPr>
            <w:tcW w:w="60" w:type="dxa"/>
            <w:tcBorders/>
            <w:shd w:fill="CCEEFF" w:val="clear"/>
            <w:vAlign w:val="center"/>
          </w:tcPr>
          <w:p>
            <w:pPr>
              <w:pStyle w:val="TableContents"/>
              <w:bidi w:val="0"/>
              <w:spacing w:before="0" w:after="0"/>
              <w:ind w:left="0" w:right="0" w:hanging="0"/>
              <w:jc w:val="left"/>
              <w:rPr/>
            </w:pPr>
            <w:r>
              <w:rPr/>
              <w:t> </w:t>
            </w:r>
          </w:p>
        </w:tc>
        <w:tc>
          <w:tcPr>
            <w:tcW w:w="6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950"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rStyle w:val="Emphasis"/>
                <w:rFonts w:ascii="Times New Roman" w:hAnsi="Times New Roman"/>
                <w:sz w:val="20"/>
              </w:rPr>
              <w:t>-</w:t>
            </w:r>
          </w:p>
        </w:tc>
        <w:tc>
          <w:tcPr>
            <w:tcW w:w="8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184"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49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w:t>
            </w:r>
          </w:p>
        </w:tc>
        <w:tc>
          <w:tcPr>
            <w:tcW w:w="8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14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780"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w:t>
            </w:r>
          </w:p>
        </w:tc>
        <w:tc>
          <w:tcPr>
            <w:tcW w:w="8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158"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957"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(1,974</w:t>
            </w:r>
          </w:p>
        </w:tc>
        <w:tc>
          <w:tcPr>
            <w:tcW w:w="80"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bidi w:val="0"/>
              <w:spacing w:before="0" w:after="0"/>
              <w:ind w:left="0" w:right="0" w:hanging="0"/>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590"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(1,974</w:t>
            </w:r>
          </w:p>
        </w:tc>
        <w:tc>
          <w:tcPr>
            <w:tcW w:w="240"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r>
      <w:tr>
        <w:trPr/>
        <w:tc>
          <w:tcPr>
            <w:tcW w:w="4905" w:type="dxa"/>
            <w:tcBorders/>
            <w:shd w:fill="FFFFFF" w:val="clear"/>
            <w:vAlign w:val="center"/>
          </w:tcPr>
          <w:p>
            <w:pPr>
              <w:pStyle w:val="TableContents"/>
              <w:bidi w:val="0"/>
              <w:spacing w:before="0" w:after="0"/>
              <w:ind w:left="0" w:right="0" w:hanging="0"/>
              <w:jc w:val="left"/>
              <w:rPr>
                <w:rFonts w:ascii="Times New Roman" w:hAnsi="Times New Roman"/>
                <w:b/>
                <w:sz w:val="20"/>
              </w:rPr>
            </w:pPr>
            <w:r>
              <w:rPr>
                <w:rFonts w:ascii="Times New Roman" w:hAnsi="Times New Roman"/>
                <w:b/>
                <w:sz w:val="20"/>
              </w:rPr>
              <w:t>Balances, June 30, 2024</w:t>
            </w:r>
          </w:p>
        </w:tc>
        <w:tc>
          <w:tcPr>
            <w:tcW w:w="6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950"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28,052,959</w:t>
            </w:r>
          </w:p>
        </w:tc>
        <w:tc>
          <w:tcPr>
            <w:tcW w:w="8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84"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c>
          <w:tcPr>
            <w:tcW w:w="496"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281</w:t>
            </w:r>
          </w:p>
        </w:tc>
        <w:tc>
          <w:tcPr>
            <w:tcW w:w="8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40"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c>
          <w:tcPr>
            <w:tcW w:w="780"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221,092</w:t>
            </w:r>
          </w:p>
        </w:tc>
        <w:tc>
          <w:tcPr>
            <w:tcW w:w="8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58"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c>
          <w:tcPr>
            <w:tcW w:w="957"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(183,645</w:t>
            </w:r>
          </w:p>
        </w:tc>
        <w:tc>
          <w:tcPr>
            <w:tcW w:w="80"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c>
          <w:tcPr>
            <w:tcW w:w="60" w:type="dxa"/>
            <w:tcBorders/>
            <w:shd w:fill="FFFFFF" w:val="clear"/>
            <w:vAlign w:val="center"/>
          </w:tcPr>
          <w:p>
            <w:pPr>
              <w:pStyle w:val="TableContents"/>
              <w:bidi w:val="0"/>
              <w:spacing w:before="0" w:after="0"/>
              <w:ind w:left="0" w:right="0" w:hanging="0"/>
              <w:jc w:val="left"/>
              <w:rPr/>
            </w:pPr>
            <w:r>
              <w:rPr/>
              <w:t> </w:t>
            </w:r>
          </w:p>
        </w:tc>
        <w:tc>
          <w:tcPr>
            <w:tcW w:w="125"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c>
          <w:tcPr>
            <w:tcW w:w="590"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37,728</w:t>
            </w:r>
          </w:p>
        </w:tc>
        <w:tc>
          <w:tcPr>
            <w:tcW w:w="240" w:type="dxa"/>
            <w:tcBorders/>
            <w:shd w:fill="FFFFFF" w:val="clear"/>
            <w:vAlign w:val="center"/>
          </w:tcPr>
          <w:p>
            <w:pPr>
              <w:pStyle w:val="TableContents"/>
              <w:bidi w:val="0"/>
              <w:spacing w:before="0" w:after="0"/>
              <w:jc w:val="left"/>
              <w:rPr/>
            </w:pPr>
            <w:r>
              <w:rPr/>
              <w:t> </w:t>
            </w:r>
          </w:p>
        </w:tc>
      </w:tr>
      <w:tr>
        <w:trPr/>
        <w:tc>
          <w:tcPr>
            <w:tcW w:w="4905" w:type="dxa"/>
            <w:tcBorders/>
            <w:shd w:fill="CCEEFF" w:val="clear"/>
            <w:vAlign w:val="center"/>
          </w:tcPr>
          <w:p>
            <w:pPr>
              <w:pStyle w:val="TableContents"/>
              <w:bidi w:val="0"/>
              <w:spacing w:before="0" w:after="0"/>
              <w:ind w:left="180" w:right="0" w:hanging="0"/>
              <w:jc w:val="left"/>
              <w:rPr>
                <w:rFonts w:ascii="Times New Roman" w:hAnsi="Times New Roman"/>
                <w:sz w:val="20"/>
              </w:rPr>
            </w:pPr>
            <w:r>
              <w:rPr>
                <w:rFonts w:ascii="Times New Roman" w:hAnsi="Times New Roman"/>
                <w:sz w:val="20"/>
              </w:rPr>
              <w:t>Stock-based compensation</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50" w:type="dxa"/>
            <w:tcBorders/>
            <w:shd w:fill="CCEEFF" w:val="clear"/>
            <w:vAlign w:val="center"/>
          </w:tcPr>
          <w:p>
            <w:pPr>
              <w:pStyle w:val="TableContents"/>
              <w:bidi w:val="0"/>
              <w:spacing w:before="0" w:after="283"/>
              <w:jc w:val="right"/>
              <w:rPr/>
            </w:pPr>
            <w:r>
              <w:rPr>
                <w:rStyle w:val="Emphasis"/>
                <w:rFonts w:ascii="Times New Roman" w:hAnsi="Times New Roman"/>
                <w:sz w:val="20"/>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4" w:type="dxa"/>
            <w:tcBorders/>
            <w:shd w:fill="CCEEFF" w:val="clear"/>
            <w:vAlign w:val="center"/>
          </w:tcPr>
          <w:p>
            <w:pPr>
              <w:pStyle w:val="TableContents"/>
              <w:bidi w:val="0"/>
              <w:spacing w:before="0" w:after="283"/>
              <w:jc w:val="left"/>
              <w:rPr/>
            </w:pPr>
            <w:r>
              <w:rPr/>
              <w:t> </w:t>
            </w:r>
          </w:p>
        </w:tc>
        <w:tc>
          <w:tcPr>
            <w:tcW w:w="496" w:type="dxa"/>
            <w:tcBorders/>
            <w:shd w:fill="CCEE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80" w:type="dxa"/>
            <w:tcBorders/>
            <w:shd w:fill="CCEE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274</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8" w:type="dxa"/>
            <w:tcBorders/>
            <w:shd w:fill="CCEEFF" w:val="clear"/>
            <w:vAlign w:val="center"/>
          </w:tcPr>
          <w:p>
            <w:pPr>
              <w:pStyle w:val="TableContents"/>
              <w:bidi w:val="0"/>
              <w:spacing w:before="0" w:after="283"/>
              <w:jc w:val="left"/>
              <w:rPr/>
            </w:pPr>
            <w:r>
              <w:rPr/>
              <w:t> </w:t>
            </w:r>
          </w:p>
        </w:tc>
        <w:tc>
          <w:tcPr>
            <w:tcW w:w="957" w:type="dxa"/>
            <w:tcBorders/>
            <w:shd w:fill="CCEE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274</w:t>
            </w:r>
          </w:p>
        </w:tc>
        <w:tc>
          <w:tcPr>
            <w:tcW w:w="240" w:type="dxa"/>
            <w:tcBorders/>
            <w:shd w:fill="CCEEFF" w:val="clear"/>
            <w:vAlign w:val="center"/>
          </w:tcPr>
          <w:p>
            <w:pPr>
              <w:pStyle w:val="TableContents"/>
              <w:bidi w:val="0"/>
              <w:spacing w:before="0" w:after="283"/>
              <w:jc w:val="left"/>
              <w:rPr/>
            </w:pPr>
            <w:r>
              <w:rPr/>
              <w:t> </w:t>
            </w:r>
          </w:p>
        </w:tc>
      </w:tr>
      <w:tr>
        <w:trPr/>
        <w:tc>
          <w:tcPr>
            <w:tcW w:w="4905" w:type="dxa"/>
            <w:tcBorders/>
            <w:shd w:fill="FFFFFF" w:val="clear"/>
            <w:vAlign w:val="center"/>
          </w:tcPr>
          <w:p>
            <w:pPr>
              <w:pStyle w:val="TableContents"/>
              <w:bidi w:val="0"/>
              <w:spacing w:before="0" w:after="0"/>
              <w:ind w:left="180" w:right="0" w:hanging="0"/>
              <w:jc w:val="left"/>
              <w:rPr>
                <w:rFonts w:ascii="Times New Roman" w:hAnsi="Times New Roman"/>
                <w:sz w:val="20"/>
              </w:rPr>
            </w:pPr>
            <w:r>
              <w:rPr>
                <w:rFonts w:ascii="Times New Roman" w:hAnsi="Times New Roman"/>
                <w:sz w:val="20"/>
              </w:rPr>
              <w:t>Vesting of restricted stock awards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50" w:type="dxa"/>
            <w:tcBorders/>
            <w:shd w:fill="FFFF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2,000</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4" w:type="dxa"/>
            <w:tcBorders/>
            <w:shd w:fill="FFFFFF" w:val="clear"/>
            <w:vAlign w:val="center"/>
          </w:tcPr>
          <w:p>
            <w:pPr>
              <w:pStyle w:val="TableContents"/>
              <w:bidi w:val="0"/>
              <w:spacing w:before="0" w:after="283"/>
              <w:jc w:val="left"/>
              <w:rPr/>
            </w:pPr>
            <w:r>
              <w:rPr/>
              <w:t> </w:t>
            </w:r>
          </w:p>
        </w:tc>
        <w:tc>
          <w:tcPr>
            <w:tcW w:w="496" w:type="dxa"/>
            <w:tcBorders/>
            <w:shd w:fill="FFFF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80" w:type="dxa"/>
            <w:tcBorders/>
            <w:shd w:fill="FFFF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8" w:type="dxa"/>
            <w:tcBorders/>
            <w:shd w:fill="FFFFFF" w:val="clear"/>
            <w:vAlign w:val="center"/>
          </w:tcPr>
          <w:p>
            <w:pPr>
              <w:pStyle w:val="TableContents"/>
              <w:bidi w:val="0"/>
              <w:spacing w:before="0" w:after="283"/>
              <w:jc w:val="left"/>
              <w:rPr/>
            </w:pPr>
            <w:r>
              <w:rPr/>
              <w:t> </w:t>
            </w:r>
          </w:p>
        </w:tc>
        <w:tc>
          <w:tcPr>
            <w:tcW w:w="957" w:type="dxa"/>
            <w:tcBorders/>
            <w:shd w:fill="FFFF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590" w:type="dxa"/>
            <w:tcBorders/>
            <w:shd w:fill="FFFF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w:t>
            </w:r>
          </w:p>
        </w:tc>
        <w:tc>
          <w:tcPr>
            <w:tcW w:w="240" w:type="dxa"/>
            <w:tcBorders/>
            <w:shd w:fill="FFFFFF" w:val="clear"/>
            <w:vAlign w:val="center"/>
          </w:tcPr>
          <w:p>
            <w:pPr>
              <w:pStyle w:val="TableContents"/>
              <w:bidi w:val="0"/>
              <w:spacing w:before="0" w:after="283"/>
              <w:jc w:val="left"/>
              <w:rPr/>
            </w:pPr>
            <w:r>
              <w:rPr/>
              <w:t> </w:t>
            </w:r>
          </w:p>
        </w:tc>
      </w:tr>
      <w:tr>
        <w:trPr/>
        <w:tc>
          <w:tcPr>
            <w:tcW w:w="4905" w:type="dxa"/>
            <w:tcBorders/>
            <w:shd w:fill="CCEE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Tax withholding for restricted stock vesting</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50" w:type="dxa"/>
            <w:tcBorders/>
            <w:shd w:fill="CCEE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(346</w:t>
            </w:r>
          </w:p>
        </w:tc>
        <w:tc>
          <w:tcPr>
            <w:tcW w:w="80"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bidi w:val="0"/>
              <w:spacing w:before="0" w:after="283"/>
              <w:jc w:val="left"/>
              <w:rPr/>
            </w:pPr>
            <w:r>
              <w:rPr/>
              <w:t> </w:t>
            </w:r>
          </w:p>
        </w:tc>
        <w:tc>
          <w:tcPr>
            <w:tcW w:w="184" w:type="dxa"/>
            <w:tcBorders/>
            <w:shd w:fill="CCEEFF" w:val="clear"/>
            <w:vAlign w:val="center"/>
          </w:tcPr>
          <w:p>
            <w:pPr>
              <w:pStyle w:val="TableContents"/>
              <w:bidi w:val="0"/>
              <w:spacing w:before="0" w:after="283"/>
              <w:jc w:val="left"/>
              <w:rPr/>
            </w:pPr>
            <w:r>
              <w:rPr/>
              <w:t> </w:t>
            </w:r>
          </w:p>
        </w:tc>
        <w:tc>
          <w:tcPr>
            <w:tcW w:w="496" w:type="dxa"/>
            <w:tcBorders/>
            <w:shd w:fill="CCEE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(1</w:t>
            </w:r>
          </w:p>
        </w:tc>
        <w:tc>
          <w:tcPr>
            <w:tcW w:w="80"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80" w:type="dxa"/>
            <w:tcBorders/>
            <w:shd w:fill="CCEE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8" w:type="dxa"/>
            <w:tcBorders/>
            <w:shd w:fill="CCEEFF" w:val="clear"/>
            <w:vAlign w:val="center"/>
          </w:tcPr>
          <w:p>
            <w:pPr>
              <w:pStyle w:val="TableContents"/>
              <w:bidi w:val="0"/>
              <w:spacing w:before="0" w:after="283"/>
              <w:jc w:val="left"/>
              <w:rPr/>
            </w:pPr>
            <w:r>
              <w:rPr/>
              <w:t> </w:t>
            </w:r>
          </w:p>
        </w:tc>
        <w:tc>
          <w:tcPr>
            <w:tcW w:w="957" w:type="dxa"/>
            <w:tcBorders/>
            <w:shd w:fill="CCEE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(1</w:t>
            </w:r>
          </w:p>
        </w:tc>
        <w:tc>
          <w:tcPr>
            <w:tcW w:w="240"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r>
        <w:trPr/>
        <w:tc>
          <w:tcPr>
            <w:tcW w:w="4905" w:type="dxa"/>
            <w:tcBorders/>
            <w:shd w:fill="FFFFFF" w:val="clear"/>
            <w:vAlign w:val="center"/>
          </w:tcPr>
          <w:p>
            <w:pPr>
              <w:pStyle w:val="TableContents"/>
              <w:bidi w:val="0"/>
              <w:spacing w:before="0" w:after="0"/>
              <w:ind w:left="180" w:right="0" w:hanging="0"/>
              <w:jc w:val="left"/>
              <w:rPr>
                <w:rFonts w:ascii="Times New Roman" w:hAnsi="Times New Roman"/>
                <w:sz w:val="20"/>
              </w:rPr>
            </w:pPr>
            <w:r>
              <w:rPr>
                <w:rFonts w:ascii="Times New Roman" w:hAnsi="Times New Roman"/>
                <w:sz w:val="20"/>
              </w:rPr>
              <w:t>Share repurchases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50" w:type="dxa"/>
            <w:tcBorders/>
            <w:shd w:fill="FFFF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(19,000</w:t>
            </w:r>
          </w:p>
        </w:tc>
        <w:tc>
          <w:tcPr>
            <w:tcW w:w="80"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FFFFFF" w:val="clear"/>
            <w:vAlign w:val="center"/>
          </w:tcPr>
          <w:p>
            <w:pPr>
              <w:pStyle w:val="TableContents"/>
              <w:bidi w:val="0"/>
              <w:spacing w:before="0" w:after="283"/>
              <w:jc w:val="left"/>
              <w:rPr/>
            </w:pPr>
            <w:r>
              <w:rPr/>
              <w:t> </w:t>
            </w:r>
          </w:p>
        </w:tc>
        <w:tc>
          <w:tcPr>
            <w:tcW w:w="184" w:type="dxa"/>
            <w:tcBorders/>
            <w:shd w:fill="FFFFFF" w:val="clear"/>
            <w:vAlign w:val="center"/>
          </w:tcPr>
          <w:p>
            <w:pPr>
              <w:pStyle w:val="TableContents"/>
              <w:bidi w:val="0"/>
              <w:spacing w:before="0" w:after="283"/>
              <w:jc w:val="left"/>
              <w:rPr/>
            </w:pPr>
            <w:r>
              <w:rPr/>
              <w:t> </w:t>
            </w:r>
          </w:p>
        </w:tc>
        <w:tc>
          <w:tcPr>
            <w:tcW w:w="496" w:type="dxa"/>
            <w:tcBorders/>
            <w:shd w:fill="FFFF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80" w:type="dxa"/>
            <w:tcBorders/>
            <w:shd w:fill="FFFF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(20</w:t>
            </w:r>
          </w:p>
        </w:tc>
        <w:tc>
          <w:tcPr>
            <w:tcW w:w="80"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FFFFFF" w:val="clear"/>
            <w:vAlign w:val="center"/>
          </w:tcPr>
          <w:p>
            <w:pPr>
              <w:pStyle w:val="TableContents"/>
              <w:bidi w:val="0"/>
              <w:spacing w:before="0" w:after="283"/>
              <w:jc w:val="left"/>
              <w:rPr/>
            </w:pPr>
            <w:r>
              <w:rPr/>
              <w:t> </w:t>
            </w:r>
          </w:p>
        </w:tc>
        <w:tc>
          <w:tcPr>
            <w:tcW w:w="158" w:type="dxa"/>
            <w:tcBorders/>
            <w:shd w:fill="FFFFFF" w:val="clear"/>
            <w:vAlign w:val="center"/>
          </w:tcPr>
          <w:p>
            <w:pPr>
              <w:pStyle w:val="TableContents"/>
              <w:bidi w:val="0"/>
              <w:spacing w:before="0" w:after="283"/>
              <w:jc w:val="left"/>
              <w:rPr/>
            </w:pPr>
            <w:r>
              <w:rPr/>
              <w:t> </w:t>
            </w:r>
          </w:p>
        </w:tc>
        <w:tc>
          <w:tcPr>
            <w:tcW w:w="957" w:type="dxa"/>
            <w:tcBorders/>
            <w:shd w:fill="FFFF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590" w:type="dxa"/>
            <w:tcBorders/>
            <w:shd w:fill="FFFF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(20</w:t>
            </w:r>
          </w:p>
        </w:tc>
        <w:tc>
          <w:tcPr>
            <w:tcW w:w="240" w:type="dxa"/>
            <w:tcBorders/>
            <w:shd w:fill="FFFF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r>
      <w:tr>
        <w:trPr/>
        <w:tc>
          <w:tcPr>
            <w:tcW w:w="4905"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Net loss</w:t>
            </w:r>
          </w:p>
        </w:tc>
        <w:tc>
          <w:tcPr>
            <w:tcW w:w="60" w:type="dxa"/>
            <w:tcBorders/>
            <w:shd w:fill="CCEEFF" w:val="clear"/>
            <w:vAlign w:val="center"/>
          </w:tcPr>
          <w:p>
            <w:pPr>
              <w:pStyle w:val="TableContents"/>
              <w:bidi w:val="0"/>
              <w:spacing w:before="0" w:after="0"/>
              <w:ind w:left="0" w:right="0" w:hanging="0"/>
              <w:jc w:val="left"/>
              <w:rPr/>
            </w:pPr>
            <w:r>
              <w:rPr/>
              <w:t> </w:t>
            </w:r>
          </w:p>
        </w:tc>
        <w:tc>
          <w:tcPr>
            <w:tcW w:w="6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950"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rStyle w:val="Emphasis"/>
                <w:rFonts w:ascii="Times New Roman" w:hAnsi="Times New Roman"/>
                <w:sz w:val="20"/>
              </w:rPr>
              <w:t>-</w:t>
            </w:r>
          </w:p>
        </w:tc>
        <w:tc>
          <w:tcPr>
            <w:tcW w:w="8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184"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49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w:t>
            </w:r>
          </w:p>
        </w:tc>
        <w:tc>
          <w:tcPr>
            <w:tcW w:w="8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14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780"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w:t>
            </w:r>
          </w:p>
        </w:tc>
        <w:tc>
          <w:tcPr>
            <w:tcW w:w="8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158"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957"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(2,247</w:t>
            </w:r>
          </w:p>
        </w:tc>
        <w:tc>
          <w:tcPr>
            <w:tcW w:w="80"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bidi w:val="0"/>
              <w:spacing w:before="0" w:after="0"/>
              <w:ind w:left="0" w:right="0" w:hanging="0"/>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590"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(2,247</w:t>
            </w:r>
          </w:p>
        </w:tc>
        <w:tc>
          <w:tcPr>
            <w:tcW w:w="240"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r>
      <w:tr>
        <w:trPr/>
        <w:tc>
          <w:tcPr>
            <w:tcW w:w="4905" w:type="dxa"/>
            <w:tcBorders/>
            <w:shd w:fill="FFFFFF" w:val="clear"/>
            <w:vAlign w:val="center"/>
          </w:tcPr>
          <w:p>
            <w:pPr>
              <w:pStyle w:val="TableContents"/>
              <w:bidi w:val="0"/>
              <w:spacing w:before="0" w:after="0"/>
              <w:ind w:left="0" w:right="0" w:hanging="0"/>
              <w:jc w:val="left"/>
              <w:rPr>
                <w:rFonts w:ascii="Times New Roman" w:hAnsi="Times New Roman"/>
                <w:b/>
                <w:sz w:val="20"/>
              </w:rPr>
            </w:pPr>
            <w:r>
              <w:rPr>
                <w:rFonts w:ascii="Times New Roman" w:hAnsi="Times New Roman"/>
                <w:b/>
                <w:sz w:val="20"/>
              </w:rPr>
              <w:t>Balances, September 30, 2024</w:t>
            </w:r>
          </w:p>
        </w:tc>
        <w:tc>
          <w:tcPr>
            <w:tcW w:w="60" w:type="dxa"/>
            <w:tcBorders/>
            <w:shd w:fill="FFFFFF" w:val="clear"/>
            <w:vAlign w:val="center"/>
          </w:tcPr>
          <w:p>
            <w:pPr>
              <w:pStyle w:val="TableContents"/>
              <w:bidi w:val="0"/>
              <w:spacing w:before="0" w:after="0"/>
              <w:ind w:left="0" w:right="0" w:hanging="0"/>
              <w:jc w:val="left"/>
              <w:rPr/>
            </w:pPr>
            <w:r>
              <w:rPr/>
              <w:t> </w:t>
            </w:r>
          </w:p>
        </w:tc>
        <w:tc>
          <w:tcPr>
            <w:tcW w:w="60" w:type="dxa"/>
            <w:tcBorders>
              <w:bottom w:val="double" w:sz="6"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950" w:type="dxa"/>
            <w:tcBorders>
              <w:bottom w:val="double" w:sz="6"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28,035,613</w:t>
            </w:r>
          </w:p>
        </w:tc>
        <w:tc>
          <w:tcPr>
            <w:tcW w:w="8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84" w:type="dxa"/>
            <w:tcBorders>
              <w:bottom w:val="double" w:sz="6" w:space="0" w:color="000000"/>
            </w:tcBorders>
            <w:shd w:fill="FFFFFF" w:val="clear"/>
            <w:tcMar>
              <w:bottom w:w="28" w:type="dxa"/>
            </w:tcM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c>
          <w:tcPr>
            <w:tcW w:w="496" w:type="dxa"/>
            <w:tcBorders>
              <w:bottom w:val="double" w:sz="6"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280</w:t>
            </w:r>
          </w:p>
        </w:tc>
        <w:tc>
          <w:tcPr>
            <w:tcW w:w="8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c>
          <w:tcPr>
            <w:tcW w:w="780" w:type="dxa"/>
            <w:tcBorders>
              <w:bottom w:val="double" w:sz="6"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221,346</w:t>
            </w:r>
          </w:p>
        </w:tc>
        <w:tc>
          <w:tcPr>
            <w:tcW w:w="8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58" w:type="dxa"/>
            <w:tcBorders>
              <w:bottom w:val="double" w:sz="6" w:space="0" w:color="000000"/>
            </w:tcBorders>
            <w:shd w:fill="FFFFFF" w:val="clear"/>
            <w:tcMar>
              <w:bottom w:w="28" w:type="dxa"/>
            </w:tcM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c>
          <w:tcPr>
            <w:tcW w:w="957" w:type="dxa"/>
            <w:tcBorders>
              <w:bottom w:val="double" w:sz="6"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(185,892</w:t>
            </w:r>
          </w:p>
        </w:tc>
        <w:tc>
          <w:tcPr>
            <w:tcW w:w="80"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c>
          <w:tcPr>
            <w:tcW w:w="60" w:type="dxa"/>
            <w:tcBorders/>
            <w:shd w:fill="FFFFFF" w:val="clear"/>
            <w:vAlign w:val="center"/>
          </w:tcPr>
          <w:p>
            <w:pPr>
              <w:pStyle w:val="TableContents"/>
              <w:bidi w:val="0"/>
              <w:spacing w:before="0" w:after="0"/>
              <w:ind w:left="0" w:right="0" w:hanging="0"/>
              <w:jc w:val="left"/>
              <w:rPr/>
            </w:pPr>
            <w:r>
              <w:rPr/>
              <w:t> </w:t>
            </w:r>
          </w:p>
        </w:tc>
        <w:tc>
          <w:tcPr>
            <w:tcW w:w="125" w:type="dxa"/>
            <w:tcBorders>
              <w:bottom w:val="double" w:sz="6" w:space="0" w:color="000000"/>
            </w:tcBorders>
            <w:shd w:fill="FFFFFF" w:val="clear"/>
            <w:tcMar>
              <w:bottom w:w="28" w:type="dxa"/>
            </w:tcM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c>
          <w:tcPr>
            <w:tcW w:w="590" w:type="dxa"/>
            <w:tcBorders>
              <w:bottom w:val="double" w:sz="6"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35,734</w:t>
            </w:r>
          </w:p>
        </w:tc>
        <w:tc>
          <w:tcPr>
            <w:tcW w:w="240" w:type="dxa"/>
            <w:tcBorders/>
            <w:shd w:fill="FFFFFF" w:val="clear"/>
            <w:vAlign w:val="center"/>
          </w:tcPr>
          <w:p>
            <w:pPr>
              <w:pStyle w:val="TableContents"/>
              <w:bidi w:val="0"/>
              <w:spacing w:before="0" w:after="0"/>
              <w:jc w:val="left"/>
              <w:rPr/>
            </w:pPr>
            <w:r>
              <w:rPr/>
              <w:t> </w:t>
            </w:r>
          </w:p>
        </w:tc>
      </w:tr>
      <w:tr>
        <w:trPr/>
        <w:tc>
          <w:tcPr>
            <w:tcW w:w="490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50"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4" w:type="dxa"/>
            <w:tcBorders/>
            <w:shd w:fill="CCEEFF" w:val="clear"/>
            <w:vAlign w:val="center"/>
          </w:tcPr>
          <w:p>
            <w:pPr>
              <w:pStyle w:val="TableContents"/>
              <w:bidi w:val="0"/>
              <w:spacing w:before="0" w:after="283"/>
              <w:jc w:val="left"/>
              <w:rPr/>
            </w:pPr>
            <w:r>
              <w:rPr/>
              <w:t> </w:t>
            </w:r>
          </w:p>
        </w:tc>
        <w:tc>
          <w:tcPr>
            <w:tcW w:w="496"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80"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8" w:type="dxa"/>
            <w:tcBorders/>
            <w:shd w:fill="CCEEFF" w:val="clear"/>
            <w:vAlign w:val="center"/>
          </w:tcPr>
          <w:p>
            <w:pPr>
              <w:pStyle w:val="TableContents"/>
              <w:bidi w:val="0"/>
              <w:spacing w:before="0" w:after="283"/>
              <w:jc w:val="left"/>
              <w:rPr/>
            </w:pPr>
            <w:r>
              <w:rPr/>
              <w:t> </w:t>
            </w:r>
          </w:p>
        </w:tc>
        <w:tc>
          <w:tcPr>
            <w:tcW w:w="957"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left"/>
              <w:rPr/>
            </w:pPr>
            <w:r>
              <w:rPr/>
              <w:t> </w:t>
            </w:r>
          </w:p>
        </w:tc>
        <w:tc>
          <w:tcPr>
            <w:tcW w:w="240" w:type="dxa"/>
            <w:tcBorders/>
            <w:shd w:fill="CCEEFF" w:val="clear"/>
            <w:vAlign w:val="center"/>
          </w:tcPr>
          <w:p>
            <w:pPr>
              <w:pStyle w:val="TableContents"/>
              <w:bidi w:val="0"/>
              <w:spacing w:before="0" w:after="283"/>
              <w:jc w:val="left"/>
              <w:rPr/>
            </w:pPr>
            <w:r>
              <w:rPr/>
              <w:t> </w:t>
            </w:r>
          </w:p>
        </w:tc>
      </w:tr>
      <w:tr>
        <w:trPr/>
        <w:tc>
          <w:tcPr>
            <w:tcW w:w="4905" w:type="dxa"/>
            <w:tcBorders/>
            <w:shd w:fill="FFFFFF" w:val="clear"/>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Balances, December 31, 2024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950"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27,903,197</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84" w:type="dxa"/>
            <w:tcBorders/>
            <w:shd w:fill="FFFF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496"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279</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40" w:type="dxa"/>
            <w:tcBorders/>
            <w:shd w:fill="FFFF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780"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221,460</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58" w:type="dxa"/>
            <w:tcBorders/>
            <w:shd w:fill="FFFF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957"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(197,918</w:t>
            </w:r>
          </w:p>
        </w:tc>
        <w:tc>
          <w:tcPr>
            <w:tcW w:w="80"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shd w:fill="FFFF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590"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23,821</w:t>
            </w:r>
          </w:p>
        </w:tc>
        <w:tc>
          <w:tcPr>
            <w:tcW w:w="240" w:type="dxa"/>
            <w:tcBorders/>
            <w:shd w:fill="FFFFFF" w:val="clear"/>
            <w:vAlign w:val="center"/>
          </w:tcPr>
          <w:p>
            <w:pPr>
              <w:pStyle w:val="TableContents"/>
              <w:bidi w:val="0"/>
              <w:spacing w:before="0" w:after="283"/>
              <w:jc w:val="left"/>
              <w:rPr/>
            </w:pPr>
            <w:r>
              <w:rPr/>
              <w:t> </w:t>
            </w:r>
          </w:p>
        </w:tc>
      </w:tr>
      <w:tr>
        <w:trPr/>
        <w:tc>
          <w:tcPr>
            <w:tcW w:w="4905"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Shares issued for acquisition</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50" w:type="dxa"/>
            <w:tcBorders/>
            <w:shd w:fill="CCEE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1,400,000</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4" w:type="dxa"/>
            <w:tcBorders/>
            <w:shd w:fill="CCEEFF" w:val="clear"/>
            <w:vAlign w:val="center"/>
          </w:tcPr>
          <w:p>
            <w:pPr>
              <w:pStyle w:val="TableContents"/>
              <w:bidi w:val="0"/>
              <w:spacing w:before="0" w:after="283"/>
              <w:jc w:val="left"/>
              <w:rPr/>
            </w:pPr>
            <w:r>
              <w:rPr/>
              <w:t> </w:t>
            </w:r>
          </w:p>
        </w:tc>
        <w:tc>
          <w:tcPr>
            <w:tcW w:w="496" w:type="dxa"/>
            <w:tcBorders/>
            <w:shd w:fill="CCEE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14</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80" w:type="dxa"/>
            <w:tcBorders/>
            <w:shd w:fill="CCEE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2,618</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8" w:type="dxa"/>
            <w:tcBorders/>
            <w:shd w:fill="CCEEFF" w:val="clear"/>
            <w:vAlign w:val="center"/>
          </w:tcPr>
          <w:p>
            <w:pPr>
              <w:pStyle w:val="TableContents"/>
              <w:bidi w:val="0"/>
              <w:spacing w:before="0" w:after="283"/>
              <w:jc w:val="left"/>
              <w:rPr/>
            </w:pPr>
            <w:r>
              <w:rPr/>
              <w:t> </w:t>
            </w:r>
          </w:p>
        </w:tc>
        <w:tc>
          <w:tcPr>
            <w:tcW w:w="957" w:type="dxa"/>
            <w:tcBorders/>
            <w:shd w:fill="CCEE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2,632</w:t>
            </w:r>
          </w:p>
        </w:tc>
        <w:tc>
          <w:tcPr>
            <w:tcW w:w="240" w:type="dxa"/>
            <w:tcBorders/>
            <w:shd w:fill="CCEEFF" w:val="clear"/>
            <w:vAlign w:val="center"/>
          </w:tcPr>
          <w:p>
            <w:pPr>
              <w:pStyle w:val="TableContents"/>
              <w:bidi w:val="0"/>
              <w:spacing w:before="0" w:after="283"/>
              <w:jc w:val="left"/>
              <w:rPr/>
            </w:pPr>
            <w:r>
              <w:rPr/>
              <w:t> </w:t>
            </w:r>
          </w:p>
        </w:tc>
      </w:tr>
      <w:tr>
        <w:trPr/>
        <w:tc>
          <w:tcPr>
            <w:tcW w:w="4905" w:type="dxa"/>
            <w:tcBorders/>
            <w:shd w:fill="FFFFFF" w:val="clear"/>
            <w:vAlign w:val="center"/>
          </w:tcPr>
          <w:p>
            <w:pPr>
              <w:pStyle w:val="TableContents"/>
              <w:bidi w:val="0"/>
              <w:spacing w:before="0" w:after="0"/>
              <w:ind w:left="180" w:right="180" w:hanging="0"/>
              <w:jc w:val="left"/>
              <w:rPr>
                <w:rFonts w:ascii="Times New Roman" w:hAnsi="Times New Roman"/>
                <w:sz w:val="20"/>
              </w:rPr>
            </w:pPr>
            <w:r>
              <w:rPr>
                <w:rFonts w:ascii="Times New Roman" w:hAnsi="Times New Roman"/>
                <w:sz w:val="20"/>
              </w:rPr>
              <w:t>Vesting of restricted stock awards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50" w:type="dxa"/>
            <w:tcBorders/>
            <w:shd w:fill="FFFF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851,515</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4" w:type="dxa"/>
            <w:tcBorders/>
            <w:shd w:fill="FFFFFF" w:val="clear"/>
            <w:vAlign w:val="center"/>
          </w:tcPr>
          <w:p>
            <w:pPr>
              <w:pStyle w:val="TableContents"/>
              <w:bidi w:val="0"/>
              <w:spacing w:before="0" w:after="283"/>
              <w:jc w:val="left"/>
              <w:rPr/>
            </w:pPr>
            <w:r>
              <w:rPr/>
              <w:t> </w:t>
            </w:r>
          </w:p>
        </w:tc>
        <w:tc>
          <w:tcPr>
            <w:tcW w:w="496" w:type="dxa"/>
            <w:tcBorders/>
            <w:shd w:fill="FFFF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9</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80" w:type="dxa"/>
            <w:tcBorders/>
            <w:shd w:fill="FFFF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(9</w:t>
            </w:r>
          </w:p>
        </w:tc>
        <w:tc>
          <w:tcPr>
            <w:tcW w:w="80"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FFFFFF" w:val="clear"/>
            <w:vAlign w:val="center"/>
          </w:tcPr>
          <w:p>
            <w:pPr>
              <w:pStyle w:val="TableContents"/>
              <w:bidi w:val="0"/>
              <w:spacing w:before="0" w:after="283"/>
              <w:jc w:val="left"/>
              <w:rPr/>
            </w:pPr>
            <w:r>
              <w:rPr/>
              <w:t> </w:t>
            </w:r>
          </w:p>
        </w:tc>
        <w:tc>
          <w:tcPr>
            <w:tcW w:w="158" w:type="dxa"/>
            <w:tcBorders/>
            <w:shd w:fill="FFFFFF" w:val="clear"/>
            <w:vAlign w:val="center"/>
          </w:tcPr>
          <w:p>
            <w:pPr>
              <w:pStyle w:val="TableContents"/>
              <w:bidi w:val="0"/>
              <w:spacing w:before="0" w:after="283"/>
              <w:jc w:val="left"/>
              <w:rPr/>
            </w:pPr>
            <w:r>
              <w:rPr/>
              <w:t> </w:t>
            </w:r>
          </w:p>
        </w:tc>
        <w:tc>
          <w:tcPr>
            <w:tcW w:w="957" w:type="dxa"/>
            <w:tcBorders/>
            <w:shd w:fill="FFFF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590" w:type="dxa"/>
            <w:tcBorders/>
            <w:shd w:fill="FFFF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w:t>
            </w:r>
          </w:p>
        </w:tc>
        <w:tc>
          <w:tcPr>
            <w:tcW w:w="240" w:type="dxa"/>
            <w:tcBorders/>
            <w:shd w:fill="FFFFFF" w:val="clear"/>
            <w:vAlign w:val="center"/>
          </w:tcPr>
          <w:p>
            <w:pPr>
              <w:pStyle w:val="TableContents"/>
              <w:bidi w:val="0"/>
              <w:spacing w:before="0" w:after="283"/>
              <w:ind w:left="0" w:right="0" w:firstLine="180"/>
              <w:jc w:val="left"/>
              <w:rPr/>
            </w:pPr>
            <w:r>
              <w:rPr/>
              <w:t> </w:t>
            </w:r>
          </w:p>
        </w:tc>
      </w:tr>
      <w:tr>
        <w:trPr/>
        <w:tc>
          <w:tcPr>
            <w:tcW w:w="4905" w:type="dxa"/>
            <w:tcBorders/>
            <w:shd w:fill="CCEEFF" w:val="clear"/>
            <w:vAlign w:val="center"/>
          </w:tcPr>
          <w:p>
            <w:pPr>
              <w:pStyle w:val="TableContents"/>
              <w:bidi w:val="0"/>
              <w:spacing w:before="0" w:after="0"/>
              <w:ind w:left="0" w:right="0" w:firstLine="180"/>
              <w:jc w:val="left"/>
              <w:rPr>
                <w:rFonts w:ascii="Times New Roman" w:hAnsi="Times New Roman"/>
                <w:sz w:val="20"/>
              </w:rPr>
            </w:pPr>
            <w:r>
              <w:rPr>
                <w:rFonts w:ascii="Times New Roman" w:hAnsi="Times New Roman"/>
                <w:sz w:val="20"/>
              </w:rPr>
              <w:t>Tax withholding for restricted stock vesting</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50" w:type="dxa"/>
            <w:tcBorders/>
            <w:shd w:fill="CCEE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(203,281</w:t>
            </w:r>
          </w:p>
        </w:tc>
        <w:tc>
          <w:tcPr>
            <w:tcW w:w="80"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bidi w:val="0"/>
              <w:spacing w:before="0" w:after="283"/>
              <w:jc w:val="left"/>
              <w:rPr/>
            </w:pPr>
            <w:r>
              <w:rPr/>
              <w:t> </w:t>
            </w:r>
          </w:p>
        </w:tc>
        <w:tc>
          <w:tcPr>
            <w:tcW w:w="184" w:type="dxa"/>
            <w:tcBorders/>
            <w:shd w:fill="CCEEFF" w:val="clear"/>
            <w:vAlign w:val="center"/>
          </w:tcPr>
          <w:p>
            <w:pPr>
              <w:pStyle w:val="TableContents"/>
              <w:bidi w:val="0"/>
              <w:spacing w:before="0" w:after="283"/>
              <w:jc w:val="left"/>
              <w:rPr/>
            </w:pPr>
            <w:r>
              <w:rPr/>
              <w:t> </w:t>
            </w:r>
          </w:p>
        </w:tc>
        <w:tc>
          <w:tcPr>
            <w:tcW w:w="496" w:type="dxa"/>
            <w:tcBorders/>
            <w:shd w:fill="CCEE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(2</w:t>
            </w:r>
          </w:p>
        </w:tc>
        <w:tc>
          <w:tcPr>
            <w:tcW w:w="80"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80" w:type="dxa"/>
            <w:tcBorders/>
            <w:shd w:fill="CCEE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(322</w:t>
            </w:r>
          </w:p>
        </w:tc>
        <w:tc>
          <w:tcPr>
            <w:tcW w:w="80"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bidi w:val="0"/>
              <w:spacing w:before="0" w:after="283"/>
              <w:jc w:val="left"/>
              <w:rPr/>
            </w:pPr>
            <w:r>
              <w:rPr/>
              <w:t> </w:t>
            </w:r>
          </w:p>
        </w:tc>
        <w:tc>
          <w:tcPr>
            <w:tcW w:w="158" w:type="dxa"/>
            <w:tcBorders/>
            <w:shd w:fill="CCEEFF" w:val="clear"/>
            <w:vAlign w:val="center"/>
          </w:tcPr>
          <w:p>
            <w:pPr>
              <w:pStyle w:val="TableContents"/>
              <w:bidi w:val="0"/>
              <w:spacing w:before="0" w:after="283"/>
              <w:jc w:val="left"/>
              <w:rPr/>
            </w:pPr>
            <w:r>
              <w:rPr/>
              <w:t> </w:t>
            </w:r>
          </w:p>
        </w:tc>
        <w:tc>
          <w:tcPr>
            <w:tcW w:w="957" w:type="dxa"/>
            <w:tcBorders/>
            <w:shd w:fill="CCEE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(324</w:t>
            </w:r>
          </w:p>
        </w:tc>
        <w:tc>
          <w:tcPr>
            <w:tcW w:w="240"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r>
        <w:trPr/>
        <w:tc>
          <w:tcPr>
            <w:tcW w:w="4905" w:type="dxa"/>
            <w:tcBorders/>
            <w:shd w:fill="FFFFFF" w:val="clear"/>
            <w:vAlign w:val="center"/>
          </w:tcPr>
          <w:p>
            <w:pPr>
              <w:pStyle w:val="TableContents"/>
              <w:bidi w:val="0"/>
              <w:spacing w:before="0" w:after="0"/>
              <w:ind w:left="180" w:right="0" w:hanging="0"/>
              <w:jc w:val="left"/>
              <w:rPr>
                <w:rFonts w:ascii="Times New Roman" w:hAnsi="Times New Roman"/>
                <w:sz w:val="20"/>
              </w:rPr>
            </w:pPr>
            <w:r>
              <w:rPr>
                <w:rFonts w:ascii="Times New Roman" w:hAnsi="Times New Roman"/>
                <w:sz w:val="20"/>
              </w:rPr>
              <w:t>Shares sold in underwritten offering, net of offering costs $1,032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50" w:type="dxa"/>
            <w:tcBorders/>
            <w:shd w:fill="FFFF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4,871,400</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4" w:type="dxa"/>
            <w:tcBorders/>
            <w:shd w:fill="FFFFFF" w:val="clear"/>
            <w:vAlign w:val="center"/>
          </w:tcPr>
          <w:p>
            <w:pPr>
              <w:pStyle w:val="TableContents"/>
              <w:bidi w:val="0"/>
              <w:spacing w:before="0" w:after="283"/>
              <w:jc w:val="left"/>
              <w:rPr/>
            </w:pPr>
            <w:r>
              <w:rPr/>
              <w:t> </w:t>
            </w:r>
          </w:p>
        </w:tc>
        <w:tc>
          <w:tcPr>
            <w:tcW w:w="496" w:type="dxa"/>
            <w:tcBorders/>
            <w:shd w:fill="FFFF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49</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80" w:type="dxa"/>
            <w:tcBorders/>
            <w:shd w:fill="FFFF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11,828</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8" w:type="dxa"/>
            <w:tcBorders/>
            <w:shd w:fill="FFFFFF" w:val="clear"/>
            <w:vAlign w:val="center"/>
          </w:tcPr>
          <w:p>
            <w:pPr>
              <w:pStyle w:val="TableContents"/>
              <w:bidi w:val="0"/>
              <w:spacing w:before="0" w:after="283"/>
              <w:jc w:val="left"/>
              <w:rPr/>
            </w:pPr>
            <w:r>
              <w:rPr/>
              <w:t> </w:t>
            </w:r>
          </w:p>
        </w:tc>
        <w:tc>
          <w:tcPr>
            <w:tcW w:w="957" w:type="dxa"/>
            <w:tcBorders/>
            <w:shd w:fill="FFFF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590" w:type="dxa"/>
            <w:tcBorders/>
            <w:shd w:fill="FFFF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11,877</w:t>
            </w:r>
          </w:p>
        </w:tc>
        <w:tc>
          <w:tcPr>
            <w:tcW w:w="240" w:type="dxa"/>
            <w:tcBorders/>
            <w:shd w:fill="FFFFFF" w:val="clear"/>
            <w:vAlign w:val="center"/>
          </w:tcPr>
          <w:p>
            <w:pPr>
              <w:pStyle w:val="TableContents"/>
              <w:bidi w:val="0"/>
              <w:spacing w:before="0" w:after="283"/>
              <w:jc w:val="left"/>
              <w:rPr/>
            </w:pPr>
            <w:r>
              <w:rPr/>
              <w:t> </w:t>
            </w:r>
          </w:p>
        </w:tc>
      </w:tr>
      <w:tr>
        <w:trPr/>
        <w:tc>
          <w:tcPr>
            <w:tcW w:w="4905" w:type="dxa"/>
            <w:tcBorders/>
            <w:shd w:fill="CCEEFF" w:val="clear"/>
            <w:vAlign w:val="center"/>
          </w:tcPr>
          <w:p>
            <w:pPr>
              <w:pStyle w:val="TableContents"/>
              <w:bidi w:val="0"/>
              <w:spacing w:before="0" w:after="0"/>
              <w:ind w:left="180" w:right="180" w:hanging="0"/>
              <w:jc w:val="left"/>
              <w:rPr>
                <w:rFonts w:ascii="Times New Roman" w:hAnsi="Times New Roman"/>
                <w:sz w:val="20"/>
              </w:rPr>
            </w:pPr>
            <w:r>
              <w:rPr>
                <w:rFonts w:ascii="Times New Roman" w:hAnsi="Times New Roman"/>
                <w:sz w:val="20"/>
              </w:rPr>
              <w:t>Share repurchases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50" w:type="dxa"/>
            <w:tcBorders/>
            <w:shd w:fill="CCEE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(125,600</w:t>
            </w:r>
          </w:p>
        </w:tc>
        <w:tc>
          <w:tcPr>
            <w:tcW w:w="80"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bidi w:val="0"/>
              <w:spacing w:before="0" w:after="283"/>
              <w:jc w:val="left"/>
              <w:rPr/>
            </w:pPr>
            <w:r>
              <w:rPr/>
              <w:t> </w:t>
            </w:r>
          </w:p>
        </w:tc>
        <w:tc>
          <w:tcPr>
            <w:tcW w:w="184" w:type="dxa"/>
            <w:tcBorders/>
            <w:shd w:fill="CCEEFF" w:val="clear"/>
            <w:vAlign w:val="center"/>
          </w:tcPr>
          <w:p>
            <w:pPr>
              <w:pStyle w:val="TableContents"/>
              <w:bidi w:val="0"/>
              <w:spacing w:before="0" w:after="283"/>
              <w:jc w:val="left"/>
              <w:rPr/>
            </w:pPr>
            <w:r>
              <w:rPr/>
              <w:t> </w:t>
            </w:r>
          </w:p>
        </w:tc>
        <w:tc>
          <w:tcPr>
            <w:tcW w:w="496" w:type="dxa"/>
            <w:tcBorders/>
            <w:shd w:fill="CCEE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(1</w:t>
            </w:r>
          </w:p>
        </w:tc>
        <w:tc>
          <w:tcPr>
            <w:tcW w:w="80"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80" w:type="dxa"/>
            <w:tcBorders/>
            <w:shd w:fill="CCEE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(233</w:t>
            </w:r>
          </w:p>
        </w:tc>
        <w:tc>
          <w:tcPr>
            <w:tcW w:w="80"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bidi w:val="0"/>
              <w:spacing w:before="0" w:after="283"/>
              <w:jc w:val="left"/>
              <w:rPr/>
            </w:pPr>
            <w:r>
              <w:rPr/>
              <w:t> </w:t>
            </w:r>
          </w:p>
        </w:tc>
        <w:tc>
          <w:tcPr>
            <w:tcW w:w="158" w:type="dxa"/>
            <w:tcBorders/>
            <w:shd w:fill="CCEEFF" w:val="clear"/>
            <w:vAlign w:val="center"/>
          </w:tcPr>
          <w:p>
            <w:pPr>
              <w:pStyle w:val="TableContents"/>
              <w:bidi w:val="0"/>
              <w:spacing w:before="0" w:after="283"/>
              <w:jc w:val="left"/>
              <w:rPr/>
            </w:pPr>
            <w:r>
              <w:rPr/>
              <w:t> </w:t>
            </w:r>
          </w:p>
        </w:tc>
        <w:tc>
          <w:tcPr>
            <w:tcW w:w="957" w:type="dxa"/>
            <w:tcBorders/>
            <w:shd w:fill="CCEE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(234</w:t>
            </w:r>
          </w:p>
        </w:tc>
        <w:tc>
          <w:tcPr>
            <w:tcW w:w="240"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r>
        <w:trPr/>
        <w:tc>
          <w:tcPr>
            <w:tcW w:w="4905" w:type="dxa"/>
            <w:tcBorders/>
            <w:shd w:fill="FFFFFF" w:val="clear"/>
            <w:vAlign w:val="center"/>
          </w:tcPr>
          <w:p>
            <w:pPr>
              <w:pStyle w:val="TableContents"/>
              <w:bidi w:val="0"/>
              <w:spacing w:before="0" w:after="0"/>
              <w:ind w:left="180" w:right="0" w:hanging="0"/>
              <w:jc w:val="left"/>
              <w:rPr>
                <w:rFonts w:ascii="Times New Roman" w:hAnsi="Times New Roman"/>
                <w:sz w:val="20"/>
              </w:rPr>
            </w:pPr>
            <w:r>
              <w:rPr>
                <w:rFonts w:ascii="Times New Roman" w:hAnsi="Times New Roman"/>
                <w:sz w:val="20"/>
              </w:rPr>
              <w:t>Shares repurchased from related party</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50" w:type="dxa"/>
            <w:tcBorders/>
            <w:shd w:fill="FFFF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(635,400</w:t>
            </w:r>
          </w:p>
        </w:tc>
        <w:tc>
          <w:tcPr>
            <w:tcW w:w="80"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FFFFFF" w:val="clear"/>
            <w:vAlign w:val="center"/>
          </w:tcPr>
          <w:p>
            <w:pPr>
              <w:pStyle w:val="TableContents"/>
              <w:bidi w:val="0"/>
              <w:spacing w:before="0" w:after="283"/>
              <w:jc w:val="left"/>
              <w:rPr/>
            </w:pPr>
            <w:r>
              <w:rPr/>
              <w:t> </w:t>
            </w:r>
          </w:p>
        </w:tc>
        <w:tc>
          <w:tcPr>
            <w:tcW w:w="184" w:type="dxa"/>
            <w:tcBorders/>
            <w:shd w:fill="FFFFFF" w:val="clear"/>
            <w:vAlign w:val="center"/>
          </w:tcPr>
          <w:p>
            <w:pPr>
              <w:pStyle w:val="TableContents"/>
              <w:bidi w:val="0"/>
              <w:spacing w:before="0" w:after="283"/>
              <w:jc w:val="left"/>
              <w:rPr/>
            </w:pPr>
            <w:r>
              <w:rPr/>
              <w:t> </w:t>
            </w:r>
          </w:p>
        </w:tc>
        <w:tc>
          <w:tcPr>
            <w:tcW w:w="496" w:type="dxa"/>
            <w:tcBorders/>
            <w:shd w:fill="FFFF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(6</w:t>
            </w:r>
          </w:p>
        </w:tc>
        <w:tc>
          <w:tcPr>
            <w:tcW w:w="80"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80" w:type="dxa"/>
            <w:tcBorders/>
            <w:shd w:fill="FFFF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(1,568</w:t>
            </w:r>
          </w:p>
        </w:tc>
        <w:tc>
          <w:tcPr>
            <w:tcW w:w="80"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FFFFFF" w:val="clear"/>
            <w:vAlign w:val="center"/>
          </w:tcPr>
          <w:p>
            <w:pPr>
              <w:pStyle w:val="TableContents"/>
              <w:bidi w:val="0"/>
              <w:spacing w:before="0" w:after="283"/>
              <w:jc w:val="left"/>
              <w:rPr/>
            </w:pPr>
            <w:r>
              <w:rPr/>
              <w:t> </w:t>
            </w:r>
          </w:p>
        </w:tc>
        <w:tc>
          <w:tcPr>
            <w:tcW w:w="158" w:type="dxa"/>
            <w:tcBorders/>
            <w:shd w:fill="FFFFFF" w:val="clear"/>
            <w:vAlign w:val="center"/>
          </w:tcPr>
          <w:p>
            <w:pPr>
              <w:pStyle w:val="TableContents"/>
              <w:bidi w:val="0"/>
              <w:spacing w:before="0" w:after="283"/>
              <w:jc w:val="left"/>
              <w:rPr/>
            </w:pPr>
            <w:r>
              <w:rPr/>
              <w:t> </w:t>
            </w:r>
          </w:p>
        </w:tc>
        <w:tc>
          <w:tcPr>
            <w:tcW w:w="957" w:type="dxa"/>
            <w:tcBorders/>
            <w:shd w:fill="FFFF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590" w:type="dxa"/>
            <w:tcBorders/>
            <w:shd w:fill="FFFF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(1,574</w:t>
            </w:r>
          </w:p>
        </w:tc>
        <w:tc>
          <w:tcPr>
            <w:tcW w:w="240"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r>
        <w:trPr/>
        <w:tc>
          <w:tcPr>
            <w:tcW w:w="4905" w:type="dxa"/>
            <w:tcBorders/>
            <w:shd w:fill="CCEEFF" w:val="clear"/>
            <w:vAlign w:val="center"/>
          </w:tcPr>
          <w:p>
            <w:pPr>
              <w:pStyle w:val="TableContents"/>
              <w:bidi w:val="0"/>
              <w:spacing w:before="0" w:after="0"/>
              <w:ind w:left="180" w:right="180" w:hanging="0"/>
              <w:jc w:val="left"/>
              <w:rPr>
                <w:rFonts w:ascii="Times New Roman" w:hAnsi="Times New Roman"/>
                <w:sz w:val="20"/>
              </w:rPr>
            </w:pPr>
            <w:r>
              <w:rPr>
                <w:rFonts w:ascii="Times New Roman" w:hAnsi="Times New Roman"/>
                <w:sz w:val="20"/>
              </w:rPr>
              <w:t>Stock-based compensation</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50" w:type="dxa"/>
            <w:tcBorders/>
            <w:shd w:fill="CCEEFF" w:val="clear"/>
            <w:vAlign w:val="center"/>
          </w:tcPr>
          <w:p>
            <w:pPr>
              <w:pStyle w:val="TableContents"/>
              <w:bidi w:val="0"/>
              <w:spacing w:before="0" w:after="283"/>
              <w:jc w:val="right"/>
              <w:rPr/>
            </w:pPr>
            <w:r>
              <w:rPr>
                <w:rStyle w:val="Emphasis"/>
                <w:rFonts w:ascii="Times New Roman" w:hAnsi="Times New Roman"/>
                <w:sz w:val="20"/>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4" w:type="dxa"/>
            <w:tcBorders/>
            <w:shd w:fill="CCEEFF" w:val="clear"/>
            <w:vAlign w:val="center"/>
          </w:tcPr>
          <w:p>
            <w:pPr>
              <w:pStyle w:val="TableContents"/>
              <w:bidi w:val="0"/>
              <w:spacing w:before="0" w:after="283"/>
              <w:jc w:val="left"/>
              <w:rPr/>
            </w:pPr>
            <w:r>
              <w:rPr/>
              <w:t> </w:t>
            </w:r>
          </w:p>
        </w:tc>
        <w:tc>
          <w:tcPr>
            <w:tcW w:w="496" w:type="dxa"/>
            <w:tcBorders/>
            <w:shd w:fill="CCEE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80" w:type="dxa"/>
            <w:tcBorders/>
            <w:shd w:fill="CCEE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471</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8" w:type="dxa"/>
            <w:tcBorders/>
            <w:shd w:fill="CCEEFF" w:val="clear"/>
            <w:vAlign w:val="center"/>
          </w:tcPr>
          <w:p>
            <w:pPr>
              <w:pStyle w:val="TableContents"/>
              <w:bidi w:val="0"/>
              <w:spacing w:before="0" w:after="283"/>
              <w:jc w:val="left"/>
              <w:rPr/>
            </w:pPr>
            <w:r>
              <w:rPr/>
              <w:t> </w:t>
            </w:r>
          </w:p>
        </w:tc>
        <w:tc>
          <w:tcPr>
            <w:tcW w:w="957" w:type="dxa"/>
            <w:tcBorders/>
            <w:shd w:fill="CCEE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471</w:t>
            </w:r>
          </w:p>
        </w:tc>
        <w:tc>
          <w:tcPr>
            <w:tcW w:w="240" w:type="dxa"/>
            <w:tcBorders/>
            <w:shd w:fill="CCEEFF" w:val="clear"/>
            <w:vAlign w:val="center"/>
          </w:tcPr>
          <w:p>
            <w:pPr>
              <w:pStyle w:val="TableContents"/>
              <w:bidi w:val="0"/>
              <w:spacing w:before="0" w:after="283"/>
              <w:jc w:val="left"/>
              <w:rPr/>
            </w:pPr>
            <w:r>
              <w:rPr/>
              <w:t> </w:t>
            </w:r>
          </w:p>
        </w:tc>
      </w:tr>
      <w:tr>
        <w:trPr/>
        <w:tc>
          <w:tcPr>
            <w:tcW w:w="4905" w:type="dxa"/>
            <w:tcBorders/>
            <w:shd w:fill="FFFFFF" w:val="clear"/>
            <w:vAlign w:val="center"/>
          </w:tcPr>
          <w:p>
            <w:pPr>
              <w:pStyle w:val="TableContents"/>
              <w:bidi w:val="0"/>
              <w:spacing w:before="0" w:after="0"/>
              <w:ind w:left="180" w:right="180" w:hanging="0"/>
              <w:jc w:val="left"/>
              <w:rPr>
                <w:rFonts w:ascii="Times New Roman" w:hAnsi="Times New Roman"/>
                <w:sz w:val="20"/>
              </w:rPr>
            </w:pPr>
            <w:r>
              <w:rPr>
                <w:rFonts w:ascii="Times New Roman" w:hAnsi="Times New Roman"/>
                <w:sz w:val="20"/>
              </w:rPr>
              <w:t>Net loss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50" w:type="dxa"/>
            <w:tcBorders/>
            <w:shd w:fill="FFFFFF" w:val="clear"/>
            <w:vAlign w:val="center"/>
          </w:tcPr>
          <w:p>
            <w:pPr>
              <w:pStyle w:val="TableContents"/>
              <w:bidi w:val="0"/>
              <w:spacing w:before="0" w:after="283"/>
              <w:jc w:val="right"/>
              <w:rPr/>
            </w:pPr>
            <w:r>
              <w:rPr>
                <w:rStyle w:val="Emphasis"/>
                <w:rFonts w:ascii="Times New Roman" w:hAnsi="Times New Roman"/>
                <w:sz w:val="20"/>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4" w:type="dxa"/>
            <w:tcBorders/>
            <w:shd w:fill="FFFFFF" w:val="clear"/>
            <w:vAlign w:val="center"/>
          </w:tcPr>
          <w:p>
            <w:pPr>
              <w:pStyle w:val="TableContents"/>
              <w:bidi w:val="0"/>
              <w:spacing w:before="0" w:after="283"/>
              <w:jc w:val="left"/>
              <w:rPr/>
            </w:pPr>
            <w:r>
              <w:rPr/>
              <w:t> </w:t>
            </w:r>
          </w:p>
        </w:tc>
        <w:tc>
          <w:tcPr>
            <w:tcW w:w="496" w:type="dxa"/>
            <w:tcBorders/>
            <w:shd w:fill="FFFF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80" w:type="dxa"/>
            <w:tcBorders/>
            <w:shd w:fill="FFFF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8" w:type="dxa"/>
            <w:tcBorders/>
            <w:shd w:fill="FFFFFF" w:val="clear"/>
            <w:vAlign w:val="center"/>
          </w:tcPr>
          <w:p>
            <w:pPr>
              <w:pStyle w:val="TableContents"/>
              <w:bidi w:val="0"/>
              <w:spacing w:before="0" w:after="283"/>
              <w:jc w:val="left"/>
              <w:rPr/>
            </w:pPr>
            <w:r>
              <w:rPr/>
              <w:t> </w:t>
            </w:r>
          </w:p>
        </w:tc>
        <w:tc>
          <w:tcPr>
            <w:tcW w:w="957" w:type="dxa"/>
            <w:tcBorders/>
            <w:shd w:fill="FFFF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(3,111</w:t>
            </w:r>
          </w:p>
        </w:tc>
        <w:tc>
          <w:tcPr>
            <w:tcW w:w="80"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590" w:type="dxa"/>
            <w:tcBorders/>
            <w:shd w:fill="FFFF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(3,111</w:t>
            </w:r>
          </w:p>
        </w:tc>
        <w:tc>
          <w:tcPr>
            <w:tcW w:w="240"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r>
        <w:trPr/>
        <w:tc>
          <w:tcPr>
            <w:tcW w:w="4905" w:type="dxa"/>
            <w:tcBorders/>
            <w:shd w:fill="CCEEFF" w:val="clear"/>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Balances, March 31, 2025</w:t>
            </w:r>
          </w:p>
        </w:tc>
        <w:tc>
          <w:tcPr>
            <w:tcW w:w="60" w:type="dxa"/>
            <w:tcBorders/>
            <w:shd w:fill="CCEEFF" w:val="clear"/>
            <w:vAlign w:val="center"/>
          </w:tcPr>
          <w:p>
            <w:pPr>
              <w:pStyle w:val="TableContents"/>
              <w:bidi w:val="0"/>
              <w:spacing w:before="0" w:after="283"/>
              <w:jc w:val="left"/>
              <w:rPr/>
            </w:pPr>
            <w:r>
              <w:rPr/>
              <w:t> </w:t>
            </w:r>
          </w:p>
        </w:tc>
        <w:tc>
          <w:tcPr>
            <w:tcW w:w="60" w:type="dxa"/>
            <w:tcBorders>
              <w:top w:val="single" w:sz="2" w:space="0" w:color="000000"/>
            </w:tcBorders>
            <w:shd w:fill="CCEEFF" w:val="clear"/>
            <w:tcMar>
              <w:top w:w="28" w:type="dxa"/>
            </w:tcMar>
            <w:vAlign w:val="center"/>
          </w:tcPr>
          <w:p>
            <w:pPr>
              <w:pStyle w:val="TableContents"/>
              <w:bidi w:val="0"/>
              <w:spacing w:before="0" w:after="283"/>
              <w:ind w:left="0" w:right="0" w:hanging="0"/>
              <w:jc w:val="left"/>
              <w:rPr/>
            </w:pPr>
            <w:r>
              <w:rPr/>
              <w:t> </w:t>
            </w:r>
          </w:p>
        </w:tc>
        <w:tc>
          <w:tcPr>
            <w:tcW w:w="950" w:type="dxa"/>
            <w:tcBorders>
              <w:top w:val="single" w:sz="2" w:space="0" w:color="000000"/>
            </w:tcBorders>
            <w:shd w:fill="CCEEFF" w:val="clear"/>
            <w:tcMar>
              <w:top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34,061,831</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84" w:type="dxa"/>
            <w:tcBorders>
              <w:top w:val="single" w:sz="2" w:space="0" w:color="000000"/>
            </w:tcBorders>
            <w:shd w:fill="CCEEFF" w:val="clear"/>
            <w:tcMar>
              <w:top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496" w:type="dxa"/>
            <w:tcBorders>
              <w:top w:val="single" w:sz="2" w:space="0" w:color="000000"/>
            </w:tcBorders>
            <w:shd w:fill="CCEEFF" w:val="clear"/>
            <w:tcMar>
              <w:top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342</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40" w:type="dxa"/>
            <w:tcBorders>
              <w:top w:val="single" w:sz="2" w:space="0" w:color="000000"/>
            </w:tcBorders>
            <w:shd w:fill="CCEEFF" w:val="clear"/>
            <w:tcMar>
              <w:top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780" w:type="dxa"/>
            <w:tcBorders>
              <w:top w:val="single" w:sz="2" w:space="0" w:color="000000"/>
            </w:tcBorders>
            <w:shd w:fill="CCEEFF" w:val="clear"/>
            <w:tcMar>
              <w:top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234,244</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58" w:type="dxa"/>
            <w:tcBorders>
              <w:top w:val="single" w:sz="2" w:space="0" w:color="000000"/>
            </w:tcBorders>
            <w:shd w:fill="CCEEFF" w:val="clear"/>
            <w:tcMar>
              <w:top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957" w:type="dxa"/>
            <w:tcBorders>
              <w:top w:val="single" w:sz="2" w:space="0" w:color="000000"/>
            </w:tcBorders>
            <w:shd w:fill="CCEEFF" w:val="clear"/>
            <w:tcMar>
              <w:top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(201,029</w:t>
            </w:r>
          </w:p>
        </w:tc>
        <w:tc>
          <w:tcPr>
            <w:tcW w:w="80"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top w:val="single" w:sz="2" w:space="0" w:color="000000"/>
            </w:tcBorders>
            <w:shd w:fill="CCEEFF" w:val="clear"/>
            <w:tcMar>
              <w:top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590" w:type="dxa"/>
            <w:tcBorders>
              <w:top w:val="single" w:sz="2" w:space="0" w:color="000000"/>
            </w:tcBorders>
            <w:shd w:fill="CCEEFF" w:val="clear"/>
            <w:tcMar>
              <w:top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33,558</w:t>
            </w:r>
          </w:p>
        </w:tc>
        <w:tc>
          <w:tcPr>
            <w:tcW w:w="240" w:type="dxa"/>
            <w:tcBorders/>
            <w:shd w:fill="CCEEFF" w:val="clear"/>
            <w:vAlign w:val="center"/>
          </w:tcPr>
          <w:p>
            <w:pPr>
              <w:pStyle w:val="TableContents"/>
              <w:bidi w:val="0"/>
              <w:spacing w:before="0" w:after="283"/>
              <w:jc w:val="left"/>
              <w:rPr/>
            </w:pPr>
            <w:r>
              <w:rPr/>
              <w:t> </w:t>
            </w:r>
          </w:p>
        </w:tc>
      </w:tr>
      <w:tr>
        <w:trPr/>
        <w:tc>
          <w:tcPr>
            <w:tcW w:w="4905" w:type="dxa"/>
            <w:tcBorders/>
            <w:shd w:fill="FFFFFF" w:val="clear"/>
            <w:vAlign w:val="center"/>
          </w:tcPr>
          <w:p>
            <w:pPr>
              <w:pStyle w:val="TableContents"/>
              <w:bidi w:val="0"/>
              <w:spacing w:before="0" w:after="0"/>
              <w:ind w:left="180" w:right="0" w:hanging="0"/>
              <w:jc w:val="left"/>
              <w:rPr>
                <w:rFonts w:ascii="Times New Roman" w:hAnsi="Times New Roman"/>
                <w:sz w:val="20"/>
              </w:rPr>
            </w:pPr>
            <w:r>
              <w:rPr>
                <w:rFonts w:ascii="Times New Roman" w:hAnsi="Times New Roman"/>
                <w:sz w:val="20"/>
              </w:rPr>
              <w:t>Vesting of restricted stock awards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50" w:type="dxa"/>
            <w:tcBorders/>
            <w:shd w:fill="FFFF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50,000</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4" w:type="dxa"/>
            <w:tcBorders/>
            <w:shd w:fill="FFFFFF" w:val="clear"/>
            <w:vAlign w:val="center"/>
          </w:tcPr>
          <w:p>
            <w:pPr>
              <w:pStyle w:val="TableContents"/>
              <w:bidi w:val="0"/>
              <w:spacing w:before="0" w:after="283"/>
              <w:jc w:val="left"/>
              <w:rPr/>
            </w:pPr>
            <w:r>
              <w:rPr/>
              <w:t> </w:t>
            </w:r>
          </w:p>
        </w:tc>
        <w:tc>
          <w:tcPr>
            <w:tcW w:w="496" w:type="dxa"/>
            <w:tcBorders/>
            <w:shd w:fill="FFFF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1</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80" w:type="dxa"/>
            <w:tcBorders/>
            <w:shd w:fill="FFFF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8" w:type="dxa"/>
            <w:tcBorders/>
            <w:shd w:fill="FFFFFF" w:val="clear"/>
            <w:vAlign w:val="center"/>
          </w:tcPr>
          <w:p>
            <w:pPr>
              <w:pStyle w:val="TableContents"/>
              <w:bidi w:val="0"/>
              <w:spacing w:before="0" w:after="283"/>
              <w:jc w:val="left"/>
              <w:rPr/>
            </w:pPr>
            <w:r>
              <w:rPr/>
              <w:t> </w:t>
            </w:r>
          </w:p>
        </w:tc>
        <w:tc>
          <w:tcPr>
            <w:tcW w:w="957" w:type="dxa"/>
            <w:tcBorders/>
            <w:shd w:fill="FFFF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590" w:type="dxa"/>
            <w:tcBorders/>
            <w:shd w:fill="FFFF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1</w:t>
            </w:r>
          </w:p>
        </w:tc>
        <w:tc>
          <w:tcPr>
            <w:tcW w:w="240" w:type="dxa"/>
            <w:tcBorders/>
            <w:shd w:fill="FFFFFF" w:val="clear"/>
            <w:vAlign w:val="center"/>
          </w:tcPr>
          <w:p>
            <w:pPr>
              <w:pStyle w:val="TableContents"/>
              <w:bidi w:val="0"/>
              <w:spacing w:before="0" w:after="283"/>
              <w:jc w:val="left"/>
              <w:rPr/>
            </w:pPr>
            <w:r>
              <w:rPr/>
              <w:t> </w:t>
            </w:r>
          </w:p>
        </w:tc>
      </w:tr>
      <w:tr>
        <w:trPr/>
        <w:tc>
          <w:tcPr>
            <w:tcW w:w="4905" w:type="dxa"/>
            <w:tcBorders/>
            <w:shd w:fill="CCEEFF" w:val="clear"/>
            <w:vAlign w:val="center"/>
          </w:tcPr>
          <w:p>
            <w:pPr>
              <w:pStyle w:val="TableContents"/>
              <w:bidi w:val="0"/>
              <w:spacing w:before="0" w:after="0"/>
              <w:ind w:left="180" w:right="0" w:hanging="0"/>
              <w:jc w:val="left"/>
              <w:rPr>
                <w:rFonts w:ascii="Times New Roman" w:hAnsi="Times New Roman"/>
                <w:sz w:val="20"/>
              </w:rPr>
            </w:pPr>
            <w:r>
              <w:rPr>
                <w:rFonts w:ascii="Times New Roman" w:hAnsi="Times New Roman"/>
                <w:sz w:val="20"/>
              </w:rPr>
              <w:t>Tax withholding for restricted stock vesting</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50" w:type="dxa"/>
            <w:tcBorders/>
            <w:shd w:fill="CCEE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(18,211</w:t>
            </w:r>
          </w:p>
        </w:tc>
        <w:tc>
          <w:tcPr>
            <w:tcW w:w="80"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bidi w:val="0"/>
              <w:spacing w:before="0" w:after="283"/>
              <w:jc w:val="left"/>
              <w:rPr/>
            </w:pPr>
            <w:r>
              <w:rPr/>
              <w:t> </w:t>
            </w:r>
          </w:p>
        </w:tc>
        <w:tc>
          <w:tcPr>
            <w:tcW w:w="184" w:type="dxa"/>
            <w:tcBorders/>
            <w:shd w:fill="CCEEFF" w:val="clear"/>
            <w:vAlign w:val="center"/>
          </w:tcPr>
          <w:p>
            <w:pPr>
              <w:pStyle w:val="TableContents"/>
              <w:bidi w:val="0"/>
              <w:spacing w:before="0" w:after="283"/>
              <w:jc w:val="left"/>
              <w:rPr/>
            </w:pPr>
            <w:r>
              <w:rPr/>
              <w:t> </w:t>
            </w:r>
          </w:p>
        </w:tc>
        <w:tc>
          <w:tcPr>
            <w:tcW w:w="496" w:type="dxa"/>
            <w:tcBorders/>
            <w:shd w:fill="CCEE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(0</w:t>
            </w:r>
          </w:p>
        </w:tc>
        <w:tc>
          <w:tcPr>
            <w:tcW w:w="80"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80" w:type="dxa"/>
            <w:tcBorders/>
            <w:shd w:fill="CCEE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(22</w:t>
            </w:r>
          </w:p>
        </w:tc>
        <w:tc>
          <w:tcPr>
            <w:tcW w:w="80"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bidi w:val="0"/>
              <w:spacing w:before="0" w:after="283"/>
              <w:jc w:val="left"/>
              <w:rPr/>
            </w:pPr>
            <w:r>
              <w:rPr/>
              <w:t> </w:t>
            </w:r>
          </w:p>
        </w:tc>
        <w:tc>
          <w:tcPr>
            <w:tcW w:w="158" w:type="dxa"/>
            <w:tcBorders/>
            <w:shd w:fill="CCEEFF" w:val="clear"/>
            <w:vAlign w:val="center"/>
          </w:tcPr>
          <w:p>
            <w:pPr>
              <w:pStyle w:val="TableContents"/>
              <w:bidi w:val="0"/>
              <w:spacing w:before="0" w:after="283"/>
              <w:jc w:val="left"/>
              <w:rPr/>
            </w:pPr>
            <w:r>
              <w:rPr/>
              <w:t> </w:t>
            </w:r>
          </w:p>
        </w:tc>
        <w:tc>
          <w:tcPr>
            <w:tcW w:w="957" w:type="dxa"/>
            <w:tcBorders/>
            <w:shd w:fill="CCEE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(22</w:t>
            </w:r>
          </w:p>
        </w:tc>
        <w:tc>
          <w:tcPr>
            <w:tcW w:w="240"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r>
        <w:trPr/>
        <w:tc>
          <w:tcPr>
            <w:tcW w:w="4905" w:type="dxa"/>
            <w:tcBorders/>
            <w:shd w:fill="FFFFFF" w:val="clear"/>
            <w:vAlign w:val="center"/>
          </w:tcPr>
          <w:p>
            <w:pPr>
              <w:pStyle w:val="TableContents"/>
              <w:bidi w:val="0"/>
              <w:spacing w:before="0" w:after="0"/>
              <w:ind w:left="180" w:right="0" w:hanging="0"/>
              <w:jc w:val="left"/>
              <w:rPr>
                <w:rFonts w:ascii="Times New Roman" w:hAnsi="Times New Roman"/>
                <w:sz w:val="20"/>
              </w:rPr>
            </w:pPr>
            <w:r>
              <w:rPr>
                <w:rFonts w:ascii="Times New Roman" w:hAnsi="Times New Roman"/>
                <w:sz w:val="20"/>
              </w:rPr>
              <w:t>Share repurchases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50" w:type="dxa"/>
            <w:tcBorders/>
            <w:shd w:fill="FFFF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(71,800</w:t>
            </w:r>
          </w:p>
        </w:tc>
        <w:tc>
          <w:tcPr>
            <w:tcW w:w="80"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FFFFFF" w:val="clear"/>
            <w:vAlign w:val="center"/>
          </w:tcPr>
          <w:p>
            <w:pPr>
              <w:pStyle w:val="TableContents"/>
              <w:bidi w:val="0"/>
              <w:spacing w:before="0" w:after="283"/>
              <w:jc w:val="left"/>
              <w:rPr/>
            </w:pPr>
            <w:r>
              <w:rPr/>
              <w:t> </w:t>
            </w:r>
          </w:p>
        </w:tc>
        <w:tc>
          <w:tcPr>
            <w:tcW w:w="184" w:type="dxa"/>
            <w:tcBorders/>
            <w:shd w:fill="FFFFFF" w:val="clear"/>
            <w:vAlign w:val="center"/>
          </w:tcPr>
          <w:p>
            <w:pPr>
              <w:pStyle w:val="TableContents"/>
              <w:bidi w:val="0"/>
              <w:spacing w:before="0" w:after="283"/>
              <w:jc w:val="left"/>
              <w:rPr/>
            </w:pPr>
            <w:r>
              <w:rPr/>
              <w:t> </w:t>
            </w:r>
          </w:p>
        </w:tc>
        <w:tc>
          <w:tcPr>
            <w:tcW w:w="496" w:type="dxa"/>
            <w:tcBorders/>
            <w:shd w:fill="FFFF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(1</w:t>
            </w:r>
          </w:p>
        </w:tc>
        <w:tc>
          <w:tcPr>
            <w:tcW w:w="80"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80" w:type="dxa"/>
            <w:tcBorders/>
            <w:shd w:fill="FFFF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(82</w:t>
            </w:r>
          </w:p>
        </w:tc>
        <w:tc>
          <w:tcPr>
            <w:tcW w:w="80"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FFFFFF" w:val="clear"/>
            <w:vAlign w:val="center"/>
          </w:tcPr>
          <w:p>
            <w:pPr>
              <w:pStyle w:val="TableContents"/>
              <w:bidi w:val="0"/>
              <w:spacing w:before="0" w:after="283"/>
              <w:jc w:val="left"/>
              <w:rPr/>
            </w:pPr>
            <w:r>
              <w:rPr/>
              <w:t> </w:t>
            </w:r>
          </w:p>
        </w:tc>
        <w:tc>
          <w:tcPr>
            <w:tcW w:w="158" w:type="dxa"/>
            <w:tcBorders/>
            <w:shd w:fill="FFFFFF" w:val="clear"/>
            <w:vAlign w:val="center"/>
          </w:tcPr>
          <w:p>
            <w:pPr>
              <w:pStyle w:val="TableContents"/>
              <w:bidi w:val="0"/>
              <w:spacing w:before="0" w:after="283"/>
              <w:jc w:val="left"/>
              <w:rPr/>
            </w:pPr>
            <w:r>
              <w:rPr/>
              <w:t> </w:t>
            </w:r>
          </w:p>
        </w:tc>
        <w:tc>
          <w:tcPr>
            <w:tcW w:w="957" w:type="dxa"/>
            <w:tcBorders/>
            <w:shd w:fill="FFFF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590" w:type="dxa"/>
            <w:tcBorders/>
            <w:shd w:fill="FFFF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(83</w:t>
            </w:r>
          </w:p>
        </w:tc>
        <w:tc>
          <w:tcPr>
            <w:tcW w:w="240"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r>
        <w:trPr/>
        <w:tc>
          <w:tcPr>
            <w:tcW w:w="4905" w:type="dxa"/>
            <w:tcBorders/>
            <w:shd w:fill="CCEEFF" w:val="clear"/>
            <w:vAlign w:val="center"/>
          </w:tcPr>
          <w:p>
            <w:pPr>
              <w:pStyle w:val="TableContents"/>
              <w:bidi w:val="0"/>
              <w:spacing w:before="0" w:after="0"/>
              <w:ind w:left="180" w:right="0" w:hanging="0"/>
              <w:jc w:val="left"/>
              <w:rPr>
                <w:rFonts w:ascii="Times New Roman" w:hAnsi="Times New Roman"/>
                <w:sz w:val="20"/>
              </w:rPr>
            </w:pPr>
            <w:r>
              <w:rPr>
                <w:rFonts w:ascii="Times New Roman" w:hAnsi="Times New Roman"/>
                <w:sz w:val="20"/>
              </w:rPr>
              <w:t>Stock-based compensation</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50" w:type="dxa"/>
            <w:tcBorders/>
            <w:shd w:fill="CCEEFF" w:val="clear"/>
            <w:vAlign w:val="center"/>
          </w:tcPr>
          <w:p>
            <w:pPr>
              <w:pStyle w:val="TableContents"/>
              <w:bidi w:val="0"/>
              <w:spacing w:before="0" w:after="283"/>
              <w:jc w:val="right"/>
              <w:rPr/>
            </w:pPr>
            <w:r>
              <w:rPr>
                <w:rStyle w:val="Emphasis"/>
                <w:rFonts w:ascii="Times New Roman" w:hAnsi="Times New Roman"/>
                <w:sz w:val="20"/>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4" w:type="dxa"/>
            <w:tcBorders/>
            <w:shd w:fill="CCEEFF" w:val="clear"/>
            <w:vAlign w:val="center"/>
          </w:tcPr>
          <w:p>
            <w:pPr>
              <w:pStyle w:val="TableContents"/>
              <w:bidi w:val="0"/>
              <w:spacing w:before="0" w:after="283"/>
              <w:jc w:val="left"/>
              <w:rPr/>
            </w:pPr>
            <w:r>
              <w:rPr/>
              <w:t> </w:t>
            </w:r>
          </w:p>
        </w:tc>
        <w:tc>
          <w:tcPr>
            <w:tcW w:w="496" w:type="dxa"/>
            <w:tcBorders/>
            <w:shd w:fill="CCEE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80" w:type="dxa"/>
            <w:tcBorders/>
            <w:shd w:fill="CCEE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563</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8" w:type="dxa"/>
            <w:tcBorders/>
            <w:shd w:fill="CCEEFF" w:val="clear"/>
            <w:vAlign w:val="center"/>
          </w:tcPr>
          <w:p>
            <w:pPr>
              <w:pStyle w:val="TableContents"/>
              <w:bidi w:val="0"/>
              <w:spacing w:before="0" w:after="283"/>
              <w:jc w:val="left"/>
              <w:rPr/>
            </w:pPr>
            <w:r>
              <w:rPr/>
              <w:t> </w:t>
            </w:r>
          </w:p>
        </w:tc>
        <w:tc>
          <w:tcPr>
            <w:tcW w:w="957" w:type="dxa"/>
            <w:tcBorders/>
            <w:shd w:fill="CCEE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563</w:t>
            </w:r>
          </w:p>
        </w:tc>
        <w:tc>
          <w:tcPr>
            <w:tcW w:w="240" w:type="dxa"/>
            <w:tcBorders/>
            <w:shd w:fill="CCEEFF" w:val="clear"/>
            <w:vAlign w:val="center"/>
          </w:tcPr>
          <w:p>
            <w:pPr>
              <w:pStyle w:val="TableContents"/>
              <w:bidi w:val="0"/>
              <w:spacing w:before="0" w:after="283"/>
              <w:jc w:val="left"/>
              <w:rPr/>
            </w:pPr>
            <w:r>
              <w:rPr/>
              <w:t> </w:t>
            </w:r>
          </w:p>
        </w:tc>
      </w:tr>
      <w:tr>
        <w:trPr/>
        <w:tc>
          <w:tcPr>
            <w:tcW w:w="4905" w:type="dxa"/>
            <w:tcBorders/>
            <w:shd w:fill="FFFFFF" w:val="clear"/>
            <w:vAlign w:val="center"/>
          </w:tcPr>
          <w:p>
            <w:pPr>
              <w:pStyle w:val="TableContents"/>
              <w:bidi w:val="0"/>
              <w:spacing w:before="0" w:after="0"/>
              <w:ind w:left="180" w:right="0" w:hanging="0"/>
              <w:jc w:val="left"/>
              <w:rPr>
                <w:rFonts w:ascii="Times New Roman" w:hAnsi="Times New Roman"/>
                <w:sz w:val="20"/>
              </w:rPr>
            </w:pPr>
            <w:r>
              <w:rPr>
                <w:rFonts w:ascii="Times New Roman" w:hAnsi="Times New Roman"/>
                <w:sz w:val="20"/>
              </w:rPr>
              <w:t>Net loss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50" w:type="dxa"/>
            <w:tcBorders/>
            <w:shd w:fill="FFFFFF" w:val="clear"/>
            <w:vAlign w:val="center"/>
          </w:tcPr>
          <w:p>
            <w:pPr>
              <w:pStyle w:val="TableContents"/>
              <w:bidi w:val="0"/>
              <w:spacing w:before="0" w:after="283"/>
              <w:jc w:val="right"/>
              <w:rPr/>
            </w:pPr>
            <w:r>
              <w:rPr>
                <w:rStyle w:val="Emphasis"/>
                <w:rFonts w:ascii="Times New Roman" w:hAnsi="Times New Roman"/>
                <w:sz w:val="20"/>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4" w:type="dxa"/>
            <w:tcBorders/>
            <w:shd w:fill="FFFFFF" w:val="clear"/>
            <w:vAlign w:val="center"/>
          </w:tcPr>
          <w:p>
            <w:pPr>
              <w:pStyle w:val="TableContents"/>
              <w:bidi w:val="0"/>
              <w:spacing w:before="0" w:after="283"/>
              <w:jc w:val="left"/>
              <w:rPr/>
            </w:pPr>
            <w:r>
              <w:rPr/>
              <w:t> </w:t>
            </w:r>
          </w:p>
        </w:tc>
        <w:tc>
          <w:tcPr>
            <w:tcW w:w="496" w:type="dxa"/>
            <w:tcBorders/>
            <w:shd w:fill="FFFF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80" w:type="dxa"/>
            <w:tcBorders/>
            <w:shd w:fill="FFFF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8" w:type="dxa"/>
            <w:tcBorders/>
            <w:shd w:fill="FFFFFF" w:val="clear"/>
            <w:vAlign w:val="center"/>
          </w:tcPr>
          <w:p>
            <w:pPr>
              <w:pStyle w:val="TableContents"/>
              <w:bidi w:val="0"/>
              <w:spacing w:before="0" w:after="283"/>
              <w:jc w:val="left"/>
              <w:rPr/>
            </w:pPr>
            <w:r>
              <w:rPr/>
              <w:t> </w:t>
            </w:r>
          </w:p>
        </w:tc>
        <w:tc>
          <w:tcPr>
            <w:tcW w:w="957" w:type="dxa"/>
            <w:tcBorders/>
            <w:shd w:fill="FFFF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(6,058</w:t>
            </w:r>
          </w:p>
        </w:tc>
        <w:tc>
          <w:tcPr>
            <w:tcW w:w="80"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590" w:type="dxa"/>
            <w:tcBorders/>
            <w:shd w:fill="FFFF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(6,058</w:t>
            </w:r>
          </w:p>
        </w:tc>
        <w:tc>
          <w:tcPr>
            <w:tcW w:w="240" w:type="dxa"/>
            <w:tcBorders/>
            <w:shd w:fill="FFFF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r>
      <w:tr>
        <w:trPr/>
        <w:tc>
          <w:tcPr>
            <w:tcW w:w="4905" w:type="dxa"/>
            <w:tcBorders/>
            <w:shd w:fill="CCEEFF" w:val="clear"/>
            <w:vAlign w:val="center"/>
          </w:tcPr>
          <w:p>
            <w:pPr>
              <w:pStyle w:val="TableContents"/>
              <w:bidi w:val="0"/>
              <w:spacing w:before="0" w:after="0"/>
              <w:ind w:left="0" w:right="0" w:hanging="0"/>
              <w:jc w:val="left"/>
              <w:rPr>
                <w:rFonts w:ascii="Times New Roman" w:hAnsi="Times New Roman"/>
                <w:b/>
                <w:sz w:val="20"/>
              </w:rPr>
            </w:pPr>
            <w:r>
              <w:rPr>
                <w:rFonts w:ascii="Times New Roman" w:hAnsi="Times New Roman"/>
                <w:b/>
                <w:sz w:val="20"/>
              </w:rPr>
              <w:t>Balances, June 30, 2025</w:t>
            </w:r>
          </w:p>
        </w:tc>
        <w:tc>
          <w:tcPr>
            <w:tcW w:w="60" w:type="dxa"/>
            <w:tcBorders/>
            <w:shd w:fill="CCEEFF" w:val="clear"/>
            <w:vAlign w:val="center"/>
          </w:tcPr>
          <w:p>
            <w:pPr>
              <w:pStyle w:val="TableContents"/>
              <w:bidi w:val="0"/>
              <w:spacing w:before="0" w:after="0"/>
              <w:ind w:left="0" w:right="0" w:hanging="0"/>
              <w:jc w:val="left"/>
              <w:rPr/>
            </w:pPr>
            <w:r>
              <w:rPr/>
              <w:t> </w:t>
            </w:r>
          </w:p>
        </w:tc>
        <w:tc>
          <w:tcPr>
            <w:tcW w:w="60" w:type="dxa"/>
            <w:tcBorders>
              <w:top w:val="single" w:sz="2" w:space="0" w:color="000000"/>
            </w:tcBorders>
            <w:shd w:fill="CCEEFF" w:val="clear"/>
            <w:tcMar>
              <w:top w:w="28" w:type="dxa"/>
            </w:tcMar>
            <w:vAlign w:val="center"/>
          </w:tcPr>
          <w:p>
            <w:pPr>
              <w:pStyle w:val="TableContents"/>
              <w:bidi w:val="0"/>
              <w:spacing w:before="0" w:after="0"/>
              <w:ind w:left="0" w:right="0" w:hanging="0"/>
              <w:jc w:val="left"/>
              <w:rPr/>
            </w:pPr>
            <w:r>
              <w:rPr/>
              <w:t> </w:t>
            </w:r>
          </w:p>
        </w:tc>
        <w:tc>
          <w:tcPr>
            <w:tcW w:w="950" w:type="dxa"/>
            <w:tcBorders>
              <w:top w:val="single" w:sz="2" w:space="0" w:color="000000"/>
            </w:tcBorders>
            <w:shd w:fill="CCEEFF" w:val="clear"/>
            <w:tcMar>
              <w:top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34,021,820</w:t>
            </w:r>
          </w:p>
        </w:tc>
        <w:tc>
          <w:tcPr>
            <w:tcW w:w="8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184" w:type="dxa"/>
            <w:tcBorders>
              <w:top w:val="single" w:sz="2" w:space="0" w:color="000000"/>
            </w:tcBorders>
            <w:shd w:fill="CCEEFF" w:val="clear"/>
            <w:tcMar>
              <w:top w:w="28" w:type="dxa"/>
            </w:tcM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c>
          <w:tcPr>
            <w:tcW w:w="496" w:type="dxa"/>
            <w:tcBorders>
              <w:top w:val="single" w:sz="2" w:space="0" w:color="000000"/>
            </w:tcBorders>
            <w:shd w:fill="CCEEFF" w:val="clear"/>
            <w:tcMar>
              <w:top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342</w:t>
            </w:r>
          </w:p>
        </w:tc>
        <w:tc>
          <w:tcPr>
            <w:tcW w:w="8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140" w:type="dxa"/>
            <w:tcBorders>
              <w:top w:val="single" w:sz="2" w:space="0" w:color="000000"/>
            </w:tcBorders>
            <w:shd w:fill="CCEEFF" w:val="clear"/>
            <w:tcMar>
              <w:top w:w="28" w:type="dxa"/>
            </w:tcM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c>
          <w:tcPr>
            <w:tcW w:w="780" w:type="dxa"/>
            <w:tcBorders>
              <w:top w:val="single" w:sz="2" w:space="0" w:color="000000"/>
            </w:tcBorders>
            <w:shd w:fill="CCEEFF" w:val="clear"/>
            <w:tcMar>
              <w:top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234,704</w:t>
            </w:r>
          </w:p>
        </w:tc>
        <w:tc>
          <w:tcPr>
            <w:tcW w:w="8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158" w:type="dxa"/>
            <w:tcBorders>
              <w:top w:val="single" w:sz="2" w:space="0" w:color="000000"/>
            </w:tcBorders>
            <w:shd w:fill="CCEEFF" w:val="clear"/>
            <w:tcMar>
              <w:top w:w="28" w:type="dxa"/>
            </w:tcM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c>
          <w:tcPr>
            <w:tcW w:w="957" w:type="dxa"/>
            <w:tcBorders>
              <w:top w:val="single" w:sz="2" w:space="0" w:color="000000"/>
            </w:tcBorders>
            <w:shd w:fill="CCEEFF" w:val="clear"/>
            <w:tcMar>
              <w:top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(207,087</w:t>
            </w:r>
          </w:p>
        </w:tc>
        <w:tc>
          <w:tcPr>
            <w:tcW w:w="80"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bidi w:val="0"/>
              <w:spacing w:before="0" w:after="0"/>
              <w:ind w:left="0" w:right="0" w:hanging="0"/>
              <w:jc w:val="left"/>
              <w:rPr/>
            </w:pPr>
            <w:r>
              <w:rPr/>
              <w:t> </w:t>
            </w:r>
          </w:p>
        </w:tc>
        <w:tc>
          <w:tcPr>
            <w:tcW w:w="125" w:type="dxa"/>
            <w:tcBorders>
              <w:top w:val="single" w:sz="2" w:space="0" w:color="000000"/>
            </w:tcBorders>
            <w:shd w:fill="CCEEFF" w:val="clear"/>
            <w:tcMar>
              <w:top w:w="28" w:type="dxa"/>
            </w:tcM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c>
          <w:tcPr>
            <w:tcW w:w="590" w:type="dxa"/>
            <w:tcBorders>
              <w:top w:val="single" w:sz="2" w:space="0" w:color="000000"/>
            </w:tcBorders>
            <w:shd w:fill="CCEEFF" w:val="clear"/>
            <w:tcMar>
              <w:top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27,960</w:t>
            </w:r>
          </w:p>
        </w:tc>
        <w:tc>
          <w:tcPr>
            <w:tcW w:w="240" w:type="dxa"/>
            <w:tcBorders/>
            <w:shd w:fill="CCEEFF" w:val="clear"/>
            <w:vAlign w:val="center"/>
          </w:tcPr>
          <w:p>
            <w:pPr>
              <w:pStyle w:val="TableContents"/>
              <w:bidi w:val="0"/>
              <w:spacing w:before="0" w:after="0"/>
              <w:jc w:val="left"/>
              <w:rPr/>
            </w:pPr>
            <w:r>
              <w:rPr/>
              <w:t> </w:t>
            </w:r>
          </w:p>
        </w:tc>
      </w:tr>
      <w:tr>
        <w:trPr/>
        <w:tc>
          <w:tcPr>
            <w:tcW w:w="4905" w:type="dxa"/>
            <w:tcBorders/>
            <w:shd w:fill="FFFFFF" w:val="clear"/>
            <w:vAlign w:val="center"/>
          </w:tcPr>
          <w:p>
            <w:pPr>
              <w:pStyle w:val="TableContents"/>
              <w:bidi w:val="0"/>
              <w:spacing w:before="0" w:after="0"/>
              <w:ind w:left="0" w:right="0" w:firstLine="180"/>
              <w:jc w:val="left"/>
              <w:rPr>
                <w:rFonts w:ascii="Times New Roman" w:hAnsi="Times New Roman"/>
                <w:sz w:val="20"/>
              </w:rPr>
            </w:pPr>
            <w:r>
              <w:rPr>
                <w:rFonts w:ascii="Times New Roman" w:hAnsi="Times New Roman"/>
                <w:sz w:val="20"/>
              </w:rPr>
              <w:t>Vesting of restricted stock awards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50" w:type="dxa"/>
            <w:tcBorders/>
            <w:shd w:fill="FFFF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122,000</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4" w:type="dxa"/>
            <w:tcBorders/>
            <w:shd w:fill="FFFFFF" w:val="clear"/>
            <w:vAlign w:val="center"/>
          </w:tcPr>
          <w:p>
            <w:pPr>
              <w:pStyle w:val="TableContents"/>
              <w:bidi w:val="0"/>
              <w:spacing w:before="0" w:after="283"/>
              <w:jc w:val="left"/>
              <w:rPr/>
            </w:pPr>
            <w:r>
              <w:rPr/>
              <w:t> </w:t>
            </w:r>
          </w:p>
        </w:tc>
        <w:tc>
          <w:tcPr>
            <w:tcW w:w="496" w:type="dxa"/>
            <w:tcBorders/>
            <w:shd w:fill="FFFF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1</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80" w:type="dxa"/>
            <w:tcBorders/>
            <w:shd w:fill="FFFF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8" w:type="dxa"/>
            <w:tcBorders/>
            <w:shd w:fill="FFFFFF" w:val="clear"/>
            <w:vAlign w:val="center"/>
          </w:tcPr>
          <w:p>
            <w:pPr>
              <w:pStyle w:val="TableContents"/>
              <w:bidi w:val="0"/>
              <w:spacing w:before="0" w:after="283"/>
              <w:jc w:val="left"/>
              <w:rPr/>
            </w:pPr>
            <w:r>
              <w:rPr/>
              <w:t> </w:t>
            </w:r>
          </w:p>
        </w:tc>
        <w:tc>
          <w:tcPr>
            <w:tcW w:w="957" w:type="dxa"/>
            <w:tcBorders/>
            <w:shd w:fill="FFFF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590" w:type="dxa"/>
            <w:tcBorders/>
            <w:shd w:fill="FFFF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1</w:t>
            </w:r>
          </w:p>
        </w:tc>
        <w:tc>
          <w:tcPr>
            <w:tcW w:w="240" w:type="dxa"/>
            <w:tcBorders/>
            <w:shd w:fill="FFFFFF" w:val="clear"/>
            <w:vAlign w:val="center"/>
          </w:tcPr>
          <w:p>
            <w:pPr>
              <w:pStyle w:val="TableContents"/>
              <w:bidi w:val="0"/>
              <w:spacing w:before="0" w:after="283"/>
              <w:jc w:val="left"/>
              <w:rPr/>
            </w:pPr>
            <w:r>
              <w:rPr/>
              <w:t> </w:t>
            </w:r>
          </w:p>
        </w:tc>
      </w:tr>
      <w:tr>
        <w:trPr/>
        <w:tc>
          <w:tcPr>
            <w:tcW w:w="4905" w:type="dxa"/>
            <w:tcBorders/>
            <w:shd w:fill="CCEEFF" w:val="clear"/>
            <w:vAlign w:val="center"/>
          </w:tcPr>
          <w:p>
            <w:pPr>
              <w:pStyle w:val="TableContents"/>
              <w:bidi w:val="0"/>
              <w:spacing w:before="0" w:after="0"/>
              <w:ind w:left="180" w:right="0" w:hanging="0"/>
              <w:jc w:val="left"/>
              <w:rPr>
                <w:rFonts w:ascii="Times New Roman" w:hAnsi="Times New Roman"/>
                <w:sz w:val="20"/>
              </w:rPr>
            </w:pPr>
            <w:r>
              <w:rPr>
                <w:rFonts w:ascii="Times New Roman" w:hAnsi="Times New Roman"/>
                <w:sz w:val="20"/>
              </w:rPr>
              <w:t>Tax withholding for restricted stock vesting</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50" w:type="dxa"/>
            <w:tcBorders/>
            <w:shd w:fill="CCEE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(271</w:t>
            </w:r>
          </w:p>
        </w:tc>
        <w:tc>
          <w:tcPr>
            <w:tcW w:w="80"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bidi w:val="0"/>
              <w:spacing w:before="0" w:after="283"/>
              <w:jc w:val="left"/>
              <w:rPr/>
            </w:pPr>
            <w:r>
              <w:rPr/>
              <w:t> </w:t>
            </w:r>
          </w:p>
        </w:tc>
        <w:tc>
          <w:tcPr>
            <w:tcW w:w="184" w:type="dxa"/>
            <w:tcBorders/>
            <w:shd w:fill="CCEEFF" w:val="clear"/>
            <w:vAlign w:val="center"/>
          </w:tcPr>
          <w:p>
            <w:pPr>
              <w:pStyle w:val="TableContents"/>
              <w:bidi w:val="0"/>
              <w:spacing w:before="0" w:after="283"/>
              <w:jc w:val="left"/>
              <w:rPr/>
            </w:pPr>
            <w:r>
              <w:rPr/>
              <w:t> </w:t>
            </w:r>
          </w:p>
        </w:tc>
        <w:tc>
          <w:tcPr>
            <w:tcW w:w="496" w:type="dxa"/>
            <w:tcBorders/>
            <w:shd w:fill="CCEE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(0</w:t>
            </w:r>
          </w:p>
        </w:tc>
        <w:tc>
          <w:tcPr>
            <w:tcW w:w="80"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80" w:type="dxa"/>
            <w:tcBorders/>
            <w:shd w:fill="CCEE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(0</w:t>
            </w:r>
          </w:p>
        </w:tc>
        <w:tc>
          <w:tcPr>
            <w:tcW w:w="80"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bidi w:val="0"/>
              <w:spacing w:before="0" w:after="283"/>
              <w:jc w:val="left"/>
              <w:rPr/>
            </w:pPr>
            <w:r>
              <w:rPr/>
              <w:t> </w:t>
            </w:r>
          </w:p>
        </w:tc>
        <w:tc>
          <w:tcPr>
            <w:tcW w:w="158" w:type="dxa"/>
            <w:tcBorders/>
            <w:shd w:fill="CCEEFF" w:val="clear"/>
            <w:vAlign w:val="center"/>
          </w:tcPr>
          <w:p>
            <w:pPr>
              <w:pStyle w:val="TableContents"/>
              <w:bidi w:val="0"/>
              <w:spacing w:before="0" w:after="283"/>
              <w:jc w:val="left"/>
              <w:rPr/>
            </w:pPr>
            <w:r>
              <w:rPr/>
              <w:t> </w:t>
            </w:r>
          </w:p>
        </w:tc>
        <w:tc>
          <w:tcPr>
            <w:tcW w:w="957" w:type="dxa"/>
            <w:tcBorders/>
            <w:shd w:fill="CCEE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(0</w:t>
            </w:r>
          </w:p>
        </w:tc>
        <w:tc>
          <w:tcPr>
            <w:tcW w:w="240"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r>
        <w:trPr/>
        <w:tc>
          <w:tcPr>
            <w:tcW w:w="4905" w:type="dxa"/>
            <w:tcBorders/>
            <w:shd w:fill="FFFFFF" w:val="clear"/>
            <w:vAlign w:val="center"/>
          </w:tcPr>
          <w:p>
            <w:pPr>
              <w:pStyle w:val="TableContents"/>
              <w:bidi w:val="0"/>
              <w:spacing w:before="0" w:after="0"/>
              <w:ind w:left="180" w:right="0" w:hanging="0"/>
              <w:jc w:val="left"/>
              <w:rPr>
                <w:rFonts w:ascii="Times New Roman" w:hAnsi="Times New Roman"/>
                <w:sz w:val="20"/>
              </w:rPr>
            </w:pPr>
            <w:r>
              <w:rPr>
                <w:rFonts w:ascii="Times New Roman" w:hAnsi="Times New Roman"/>
                <w:sz w:val="20"/>
              </w:rPr>
              <w:t>Stock-based compensation</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50" w:type="dxa"/>
            <w:tcBorders/>
            <w:shd w:fill="FFFFFF" w:val="clear"/>
            <w:vAlign w:val="center"/>
          </w:tcPr>
          <w:p>
            <w:pPr>
              <w:pStyle w:val="TableContents"/>
              <w:bidi w:val="0"/>
              <w:spacing w:before="0" w:after="283"/>
              <w:jc w:val="right"/>
              <w:rPr/>
            </w:pPr>
            <w:r>
              <w:rPr>
                <w:rStyle w:val="Emphasis"/>
                <w:rFonts w:ascii="Times New Roman" w:hAnsi="Times New Roman"/>
                <w:sz w:val="20"/>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4" w:type="dxa"/>
            <w:tcBorders/>
            <w:shd w:fill="FFFFFF" w:val="clear"/>
            <w:vAlign w:val="center"/>
          </w:tcPr>
          <w:p>
            <w:pPr>
              <w:pStyle w:val="TableContents"/>
              <w:bidi w:val="0"/>
              <w:spacing w:before="0" w:after="283"/>
              <w:jc w:val="left"/>
              <w:rPr/>
            </w:pPr>
            <w:r>
              <w:rPr/>
              <w:t> </w:t>
            </w:r>
          </w:p>
        </w:tc>
        <w:tc>
          <w:tcPr>
            <w:tcW w:w="496" w:type="dxa"/>
            <w:tcBorders/>
            <w:shd w:fill="FFFF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80" w:type="dxa"/>
            <w:tcBorders/>
            <w:shd w:fill="FFFF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420</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8" w:type="dxa"/>
            <w:tcBorders/>
            <w:shd w:fill="FFFFFF" w:val="clear"/>
            <w:vAlign w:val="center"/>
          </w:tcPr>
          <w:p>
            <w:pPr>
              <w:pStyle w:val="TableContents"/>
              <w:bidi w:val="0"/>
              <w:spacing w:before="0" w:after="283"/>
              <w:jc w:val="left"/>
              <w:rPr/>
            </w:pPr>
            <w:r>
              <w:rPr/>
              <w:t> </w:t>
            </w:r>
          </w:p>
        </w:tc>
        <w:tc>
          <w:tcPr>
            <w:tcW w:w="957" w:type="dxa"/>
            <w:tcBorders/>
            <w:shd w:fill="FFFF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590" w:type="dxa"/>
            <w:tcBorders/>
            <w:shd w:fill="FFFF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420</w:t>
            </w:r>
          </w:p>
        </w:tc>
        <w:tc>
          <w:tcPr>
            <w:tcW w:w="240" w:type="dxa"/>
            <w:tcBorders/>
            <w:shd w:fill="FFFFFF" w:val="clear"/>
            <w:vAlign w:val="center"/>
          </w:tcPr>
          <w:p>
            <w:pPr>
              <w:pStyle w:val="TableContents"/>
              <w:bidi w:val="0"/>
              <w:spacing w:before="0" w:after="283"/>
              <w:jc w:val="left"/>
              <w:rPr/>
            </w:pPr>
            <w:r>
              <w:rPr/>
              <w:t> </w:t>
            </w:r>
          </w:p>
        </w:tc>
      </w:tr>
      <w:tr>
        <w:trPr/>
        <w:tc>
          <w:tcPr>
            <w:tcW w:w="4905" w:type="dxa"/>
            <w:tcBorders/>
            <w:shd w:fill="CCEEFF" w:val="clear"/>
            <w:vAlign w:val="center"/>
          </w:tcPr>
          <w:p>
            <w:pPr>
              <w:pStyle w:val="TableContents"/>
              <w:bidi w:val="0"/>
              <w:spacing w:before="0" w:after="0"/>
              <w:ind w:left="180" w:right="0" w:hanging="0"/>
              <w:jc w:val="left"/>
              <w:rPr>
                <w:rFonts w:ascii="Times New Roman" w:hAnsi="Times New Roman"/>
                <w:sz w:val="20"/>
              </w:rPr>
            </w:pPr>
            <w:r>
              <w:rPr>
                <w:rFonts w:ascii="Times New Roman" w:hAnsi="Times New Roman"/>
                <w:sz w:val="20"/>
              </w:rPr>
              <w:t>Net loss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50" w:type="dxa"/>
            <w:tcBorders/>
            <w:shd w:fill="CCEEFF" w:val="clear"/>
            <w:vAlign w:val="center"/>
          </w:tcPr>
          <w:p>
            <w:pPr>
              <w:pStyle w:val="TableContents"/>
              <w:bidi w:val="0"/>
              <w:spacing w:before="0" w:after="283"/>
              <w:jc w:val="right"/>
              <w:rPr/>
            </w:pPr>
            <w:r>
              <w:rPr>
                <w:rStyle w:val="Emphasis"/>
                <w:rFonts w:ascii="Times New Roman" w:hAnsi="Times New Roman"/>
                <w:sz w:val="20"/>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4" w:type="dxa"/>
            <w:tcBorders/>
            <w:shd w:fill="CCEEFF" w:val="clear"/>
            <w:vAlign w:val="center"/>
          </w:tcPr>
          <w:p>
            <w:pPr>
              <w:pStyle w:val="TableContents"/>
              <w:bidi w:val="0"/>
              <w:spacing w:before="0" w:after="283"/>
              <w:jc w:val="left"/>
              <w:rPr/>
            </w:pPr>
            <w:r>
              <w:rPr/>
              <w:t> </w:t>
            </w:r>
          </w:p>
        </w:tc>
        <w:tc>
          <w:tcPr>
            <w:tcW w:w="496" w:type="dxa"/>
            <w:tcBorders/>
            <w:shd w:fill="CCEE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80" w:type="dxa"/>
            <w:tcBorders/>
            <w:shd w:fill="CCEE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8" w:type="dxa"/>
            <w:tcBorders/>
            <w:shd w:fill="CCEEFF" w:val="clear"/>
            <w:vAlign w:val="center"/>
          </w:tcPr>
          <w:p>
            <w:pPr>
              <w:pStyle w:val="TableContents"/>
              <w:bidi w:val="0"/>
              <w:spacing w:before="0" w:after="283"/>
              <w:jc w:val="left"/>
              <w:rPr/>
            </w:pPr>
            <w:r>
              <w:rPr/>
              <w:t> </w:t>
            </w:r>
          </w:p>
        </w:tc>
        <w:tc>
          <w:tcPr>
            <w:tcW w:w="957" w:type="dxa"/>
            <w:tcBorders/>
            <w:shd w:fill="CCEE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(3,341</w:t>
            </w:r>
          </w:p>
        </w:tc>
        <w:tc>
          <w:tcPr>
            <w:tcW w:w="80"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(3,341</w:t>
            </w:r>
          </w:p>
        </w:tc>
        <w:tc>
          <w:tcPr>
            <w:tcW w:w="240"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r>
      <w:tr>
        <w:trPr/>
        <w:tc>
          <w:tcPr>
            <w:tcW w:w="4905" w:type="dxa"/>
            <w:tcBorders/>
            <w:shd w:fill="FFFFFF" w:val="clear"/>
            <w:vAlign w:val="center"/>
          </w:tcPr>
          <w:p>
            <w:pPr>
              <w:pStyle w:val="TableContents"/>
              <w:bidi w:val="0"/>
              <w:spacing w:before="0" w:after="0"/>
              <w:ind w:left="0" w:right="0" w:hanging="0"/>
              <w:jc w:val="left"/>
              <w:rPr>
                <w:rFonts w:ascii="Times New Roman" w:hAnsi="Times New Roman"/>
                <w:b/>
                <w:sz w:val="20"/>
              </w:rPr>
            </w:pPr>
            <w:r>
              <w:rPr>
                <w:rFonts w:ascii="Times New Roman" w:hAnsi="Times New Roman"/>
                <w:b/>
                <w:sz w:val="20"/>
              </w:rPr>
              <w:t>Balances, September 30, 2025</w:t>
            </w:r>
          </w:p>
        </w:tc>
        <w:tc>
          <w:tcPr>
            <w:tcW w:w="60" w:type="dxa"/>
            <w:tcBorders/>
            <w:shd w:fill="FFFFFF" w:val="clear"/>
            <w:vAlign w:val="center"/>
          </w:tcPr>
          <w:p>
            <w:pPr>
              <w:pStyle w:val="TableContents"/>
              <w:bidi w:val="0"/>
              <w:spacing w:before="0" w:after="0"/>
              <w:ind w:left="0" w:right="0" w:hanging="0"/>
              <w:jc w:val="left"/>
              <w:rPr/>
            </w:pPr>
            <w:r>
              <w:rPr/>
              <w:t> </w:t>
            </w:r>
          </w:p>
        </w:tc>
        <w:tc>
          <w:tcPr>
            <w:tcW w:w="60" w:type="dxa"/>
            <w:tcBorders>
              <w:bottom w:val="double" w:sz="6"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950" w:type="dxa"/>
            <w:tcBorders>
              <w:top w:val="single" w:sz="2" w:space="0" w:color="000000"/>
              <w:bottom w:val="double" w:sz="6" w:space="0" w:color="000000"/>
            </w:tcBorders>
            <w:shd w:fill="FFFFFF" w:val="clear"/>
            <w:tcMar>
              <w:top w:w="28" w:type="dxa"/>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34,143,549</w:t>
            </w:r>
          </w:p>
        </w:tc>
        <w:tc>
          <w:tcPr>
            <w:tcW w:w="8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84" w:type="dxa"/>
            <w:tcBorders>
              <w:bottom w:val="double" w:sz="6" w:space="0" w:color="000000"/>
            </w:tcBorders>
            <w:shd w:fill="FFFFFF" w:val="clear"/>
            <w:tcMar>
              <w:bottom w:w="28" w:type="dxa"/>
            </w:tcM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c>
          <w:tcPr>
            <w:tcW w:w="496" w:type="dxa"/>
            <w:tcBorders>
              <w:top w:val="single" w:sz="2" w:space="0" w:color="000000"/>
              <w:bottom w:val="double" w:sz="6" w:space="0" w:color="000000"/>
            </w:tcBorders>
            <w:shd w:fill="FFFFFF" w:val="clear"/>
            <w:tcMar>
              <w:top w:w="28" w:type="dxa"/>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343</w:t>
            </w:r>
          </w:p>
        </w:tc>
        <w:tc>
          <w:tcPr>
            <w:tcW w:w="8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c>
          <w:tcPr>
            <w:tcW w:w="780" w:type="dxa"/>
            <w:tcBorders>
              <w:top w:val="single" w:sz="2" w:space="0" w:color="000000"/>
              <w:bottom w:val="double" w:sz="6" w:space="0" w:color="000000"/>
            </w:tcBorders>
            <w:shd w:fill="FFFFFF" w:val="clear"/>
            <w:tcMar>
              <w:top w:w="28" w:type="dxa"/>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235,124</w:t>
            </w:r>
          </w:p>
        </w:tc>
        <w:tc>
          <w:tcPr>
            <w:tcW w:w="8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58" w:type="dxa"/>
            <w:tcBorders>
              <w:bottom w:val="double" w:sz="6" w:space="0" w:color="000000"/>
            </w:tcBorders>
            <w:shd w:fill="FFFFFF" w:val="clear"/>
            <w:tcMar>
              <w:bottom w:w="28" w:type="dxa"/>
            </w:tcM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c>
          <w:tcPr>
            <w:tcW w:w="957" w:type="dxa"/>
            <w:tcBorders>
              <w:top w:val="single" w:sz="2" w:space="0" w:color="000000"/>
              <w:bottom w:val="double" w:sz="6" w:space="0" w:color="000000"/>
            </w:tcBorders>
            <w:shd w:fill="FFFFFF" w:val="clear"/>
            <w:tcMar>
              <w:top w:w="28" w:type="dxa"/>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(210,428</w:t>
            </w:r>
          </w:p>
        </w:tc>
        <w:tc>
          <w:tcPr>
            <w:tcW w:w="80"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c>
          <w:tcPr>
            <w:tcW w:w="60" w:type="dxa"/>
            <w:tcBorders/>
            <w:shd w:fill="FFFFFF" w:val="clear"/>
            <w:vAlign w:val="center"/>
          </w:tcPr>
          <w:p>
            <w:pPr>
              <w:pStyle w:val="TableContents"/>
              <w:bidi w:val="0"/>
              <w:spacing w:before="0" w:after="0"/>
              <w:ind w:left="0" w:right="0" w:hanging="0"/>
              <w:jc w:val="left"/>
              <w:rPr/>
            </w:pPr>
            <w:r>
              <w:rPr/>
              <w:t> </w:t>
            </w:r>
          </w:p>
        </w:tc>
        <w:tc>
          <w:tcPr>
            <w:tcW w:w="125" w:type="dxa"/>
            <w:tcBorders>
              <w:bottom w:val="double" w:sz="6" w:space="0" w:color="000000"/>
            </w:tcBorders>
            <w:shd w:fill="FFFFFF" w:val="clear"/>
            <w:tcMar>
              <w:bottom w:w="28" w:type="dxa"/>
            </w:tcM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c>
          <w:tcPr>
            <w:tcW w:w="590" w:type="dxa"/>
            <w:tcBorders>
              <w:top w:val="single" w:sz="2" w:space="0" w:color="000000"/>
              <w:bottom w:val="double" w:sz="6" w:space="0" w:color="000000"/>
            </w:tcBorders>
            <w:shd w:fill="FFFFFF" w:val="clear"/>
            <w:tcMar>
              <w:top w:w="28" w:type="dxa"/>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25,039</w:t>
            </w:r>
          </w:p>
        </w:tc>
        <w:tc>
          <w:tcPr>
            <w:tcW w:w="240" w:type="dxa"/>
            <w:tcBorders/>
            <w:shd w:fill="FFFFFF" w:val="clear"/>
            <w:vAlign w:val="center"/>
          </w:tcPr>
          <w:p>
            <w:pPr>
              <w:pStyle w:val="TableContents"/>
              <w:bidi w:val="0"/>
              <w:spacing w:before="0" w:after="0"/>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The accompanying notes are an integral part of these unaudited Condensed Consolidated Financial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6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283"/>
        <w:jc w:val="left"/>
        <w:rPr/>
      </w:pPr>
      <w:r>
        <w:rPr/>
        <w:t xml:space="preserve">  </w:t>
      </w:r>
    </w:p>
    <w:p>
      <w:pPr>
        <w:pStyle w:val="TextBody"/>
        <w:bidi w:val="0"/>
        <w:spacing w:before="0" w:after="0"/>
        <w:ind w:left="0" w:right="0" w:hanging="0"/>
        <w:jc w:val="center"/>
        <w:rPr>
          <w:rFonts w:ascii="Times New Roman;Times;serif" w:hAnsi="Times New Roman;Times;serif"/>
          <w:b/>
          <w:sz w:val="20"/>
        </w:rPr>
      </w:pPr>
      <w:bookmarkStart w:id="9" w:name="cf"/>
      <w:bookmarkEnd w:id="9"/>
      <w:r>
        <w:rPr>
          <w:rFonts w:ascii="Times New Roman;Times;serif" w:hAnsi="Times New Roman;Times;serif"/>
          <w:b/>
          <w:sz w:val="20"/>
        </w:rPr>
        <w:t>U.S. ENERGY CORP. AND SUBSIDIARIES</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UNAUDITED CONDENSED CONSOLIDATED STATEMENTS OF CASH FLOWS</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 xml:space="preserve">FOR THE </w:t>
      </w:r>
      <w:r>
        <w:rPr>
          <w:rFonts w:ascii="Times New Roman" w:hAnsi="Times New Roman"/>
          <w:b/>
          <w:caps/>
          <w:sz w:val="20"/>
        </w:rPr>
        <w:t>nine months ended September 30, 2025 and 2024</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(in thousands)</w:t>
      </w:r>
    </w:p>
    <w:p>
      <w:pPr>
        <w:pStyle w:val="TextBody"/>
        <w:bidi w:val="0"/>
        <w:spacing w:before="0" w:after="0"/>
        <w:ind w:left="0" w:right="0" w:hanging="0"/>
        <w:jc w:val="left"/>
        <w:rPr>
          <w:caps w:val="false"/>
          <w:smallCaps w:val="false"/>
        </w:rPr>
      </w:pPr>
      <w:r>
        <w:rPr>
          <w:caps w:val="false"/>
          <w:smallCaps w:val="false"/>
        </w:rPr>
        <w:t> </w:t>
      </w:r>
    </w:p>
    <w:tbl>
      <w:tblPr>
        <w:tblW w:w="8915" w:type="dxa"/>
        <w:jc w:val="left"/>
        <w:tblInd w:w="0" w:type="dxa"/>
        <w:tblLayout w:type="fixed"/>
        <w:tblCellMar>
          <w:top w:w="0" w:type="dxa"/>
          <w:left w:w="0" w:type="dxa"/>
          <w:bottom w:w="0" w:type="dxa"/>
          <w:right w:w="0" w:type="dxa"/>
        </w:tblCellMar>
      </w:tblPr>
      <w:tblGrid>
        <w:gridCol w:w="7085"/>
        <w:gridCol w:w="60"/>
        <w:gridCol w:w="125"/>
        <w:gridCol w:w="650"/>
        <w:gridCol w:w="80"/>
        <w:gridCol w:w="60"/>
        <w:gridCol w:w="125"/>
        <w:gridCol w:w="650"/>
        <w:gridCol w:w="80"/>
      </w:tblGrid>
      <w:tr>
        <w:trPr/>
        <w:tc>
          <w:tcPr>
            <w:tcW w:w="70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77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2025</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77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2024</w:t>
            </w:r>
          </w:p>
        </w:tc>
        <w:tc>
          <w:tcPr>
            <w:tcW w:w="80" w:type="dxa"/>
            <w:tcBorders/>
            <w:shd w:fill="FFFFFF" w:val="clear"/>
            <w:vAlign w:val="center"/>
          </w:tcPr>
          <w:p>
            <w:pPr>
              <w:pStyle w:val="TableContents"/>
              <w:bidi w:val="0"/>
              <w:spacing w:before="0" w:after="283"/>
              <w:jc w:val="left"/>
              <w:rPr/>
            </w:pPr>
            <w:r>
              <w:rPr/>
              <w:t> </w:t>
            </w:r>
          </w:p>
        </w:tc>
      </w:tr>
      <w:tr>
        <w:trPr/>
        <w:tc>
          <w:tcPr>
            <w:tcW w:w="70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50"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50"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ind w:left="0" w:right="0" w:hanging="0"/>
              <w:jc w:val="left"/>
              <w:rPr/>
            </w:pPr>
            <w:r>
              <w:rPr/>
              <w:t> </w:t>
            </w:r>
          </w:p>
        </w:tc>
      </w:tr>
      <w:tr>
        <w:trPr/>
        <w:tc>
          <w:tcPr>
            <w:tcW w:w="7085" w:type="dxa"/>
            <w:tcBorders/>
            <w:shd w:fill="CCEE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Cash flows from operating activities: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50"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50"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ind w:left="180" w:right="0" w:hanging="0"/>
              <w:jc w:val="left"/>
              <w:rPr/>
            </w:pPr>
            <w:r>
              <w:rPr/>
              <w:t> </w:t>
            </w:r>
          </w:p>
        </w:tc>
      </w:tr>
      <w:tr>
        <w:trPr/>
        <w:tc>
          <w:tcPr>
            <w:tcW w:w="7085" w:type="dxa"/>
            <w:tcBorders/>
            <w:shd w:fill="FFFF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loss</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5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(12,510</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5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(13,758</w:t>
            </w:r>
          </w:p>
        </w:tc>
        <w:tc>
          <w:tcPr>
            <w:tcW w:w="80" w:type="dxa"/>
            <w:tcBorders/>
            <w:shd w:fill="FFFFFF" w:val="clear"/>
            <w:vAlign w:val="center"/>
          </w:tcPr>
          <w:p>
            <w:pPr>
              <w:pStyle w:val="TableContents"/>
              <w:bidi w:val="0"/>
              <w:spacing w:before="0" w:after="283"/>
              <w:ind w:left="180" w:right="0" w:hanging="0"/>
              <w:jc w:val="left"/>
              <w:rPr>
                <w:rFonts w:ascii="Times New Roman;Times;serif" w:hAnsi="Times New Roman;Times;serif"/>
                <w:sz w:val="20"/>
              </w:rPr>
            </w:pPr>
            <w:r>
              <w:rPr>
                <w:rFonts w:ascii="Times New Roman;Times;serif" w:hAnsi="Times New Roman;Times;serif"/>
                <w:sz w:val="20"/>
              </w:rPr>
              <w:t>)</w:t>
            </w:r>
          </w:p>
        </w:tc>
      </w:tr>
      <w:tr>
        <w:trPr/>
        <w:tc>
          <w:tcPr>
            <w:tcW w:w="7085" w:type="dxa"/>
            <w:tcBorders/>
            <w:shd w:fill="CCEE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Adjustments to reconcile net loss to net cash (used in) provided by operating activities: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50"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50"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ind w:left="360" w:right="0" w:hanging="0"/>
              <w:jc w:val="left"/>
              <w:rPr/>
            </w:pPr>
            <w:r>
              <w:rPr/>
              <w:t> </w:t>
            </w:r>
          </w:p>
        </w:tc>
      </w:tr>
      <w:tr>
        <w:trPr/>
        <w:tc>
          <w:tcPr>
            <w:tcW w:w="7085" w:type="dxa"/>
            <w:tcBorders/>
            <w:shd w:fill="FFFFFF" w:val="clear"/>
            <w:vAlign w:val="center"/>
          </w:tcPr>
          <w:p>
            <w:pPr>
              <w:pStyle w:val="TableContents"/>
              <w:bidi w:val="0"/>
              <w:spacing w:before="0" w:after="0"/>
              <w:ind w:left="72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Depreciation, depletion, accretion, and amortization</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5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3,053</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5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6,392</w:t>
            </w:r>
          </w:p>
        </w:tc>
        <w:tc>
          <w:tcPr>
            <w:tcW w:w="80" w:type="dxa"/>
            <w:tcBorders/>
            <w:shd w:fill="FFFFFF" w:val="clear"/>
            <w:vAlign w:val="center"/>
          </w:tcPr>
          <w:p>
            <w:pPr>
              <w:pStyle w:val="TableContents"/>
              <w:bidi w:val="0"/>
              <w:spacing w:before="0" w:after="283"/>
              <w:ind w:left="360" w:right="0" w:hanging="0"/>
              <w:jc w:val="left"/>
              <w:rPr/>
            </w:pPr>
            <w:r>
              <w:rPr/>
              <w:t> </w:t>
            </w:r>
          </w:p>
        </w:tc>
      </w:tr>
      <w:tr>
        <w:trPr/>
        <w:tc>
          <w:tcPr>
            <w:tcW w:w="7085" w:type="dxa"/>
            <w:tcBorders/>
            <w:shd w:fill="CCEEFF" w:val="clear"/>
            <w:vAlign w:val="center"/>
          </w:tcPr>
          <w:p>
            <w:pPr>
              <w:pStyle w:val="TableContents"/>
              <w:bidi w:val="0"/>
              <w:spacing w:before="0" w:after="0"/>
              <w:ind w:left="72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Impairment of oil and natural gas properties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5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3,628</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5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6,843</w:t>
            </w:r>
          </w:p>
        </w:tc>
        <w:tc>
          <w:tcPr>
            <w:tcW w:w="80" w:type="dxa"/>
            <w:tcBorders/>
            <w:shd w:fill="CCEEFF" w:val="clear"/>
            <w:vAlign w:val="center"/>
          </w:tcPr>
          <w:p>
            <w:pPr>
              <w:pStyle w:val="TableContents"/>
              <w:bidi w:val="0"/>
              <w:spacing w:before="0" w:after="283"/>
              <w:ind w:left="360" w:right="0" w:hanging="0"/>
              <w:jc w:val="left"/>
              <w:rPr/>
            </w:pPr>
            <w:r>
              <w:rPr/>
              <w:t> </w:t>
            </w:r>
          </w:p>
        </w:tc>
      </w:tr>
      <w:tr>
        <w:trPr/>
        <w:tc>
          <w:tcPr>
            <w:tcW w:w="7085" w:type="dxa"/>
            <w:tcBorders/>
            <w:shd w:fill="FFFFFF" w:val="clear"/>
            <w:vAlign w:val="center"/>
          </w:tcPr>
          <w:p>
            <w:pPr>
              <w:pStyle w:val="TableContents"/>
              <w:bidi w:val="0"/>
              <w:spacing w:before="0" w:after="0"/>
              <w:ind w:left="720" w:right="360" w:hanging="0"/>
              <w:jc w:val="left"/>
              <w:rPr>
                <w:rFonts w:ascii="Times New Roman;Times;serif" w:hAnsi="Times New Roman;Times;serif"/>
                <w:sz w:val="20"/>
              </w:rPr>
            </w:pPr>
            <w:r>
              <w:rPr>
                <w:rFonts w:ascii="Times New Roman;Times;serif" w:hAnsi="Times New Roman;Times;serif"/>
                <w:sz w:val="20"/>
              </w:rPr>
              <w:t>Loss on sale of assets</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5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434</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5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shd w:fill="FFFFFF" w:val="clear"/>
            <w:vAlign w:val="center"/>
          </w:tcPr>
          <w:p>
            <w:pPr>
              <w:pStyle w:val="TableContents"/>
              <w:bidi w:val="0"/>
              <w:spacing w:before="0" w:after="283"/>
              <w:jc w:val="left"/>
              <w:rPr/>
            </w:pPr>
            <w:r>
              <w:rPr/>
              <w:t> </w:t>
            </w:r>
          </w:p>
        </w:tc>
      </w:tr>
      <w:tr>
        <w:trPr/>
        <w:tc>
          <w:tcPr>
            <w:tcW w:w="7085" w:type="dxa"/>
            <w:tcBorders/>
            <w:shd w:fill="CCEEFF" w:val="clear"/>
            <w:vAlign w:val="center"/>
          </w:tcPr>
          <w:p>
            <w:pPr>
              <w:pStyle w:val="TableContents"/>
              <w:bidi w:val="0"/>
              <w:spacing w:before="0" w:after="0"/>
              <w:ind w:left="360" w:right="0" w:hanging="0"/>
              <w:jc w:val="left"/>
              <w:rPr>
                <w:rFonts w:ascii="Times New Roman;Times;serif" w:hAnsi="Times New Roman;Times;serif"/>
                <w:sz w:val="20"/>
              </w:rPr>
            </w:pPr>
            <w:r>
              <w:rPr>
                <w:rFonts w:ascii="Times New Roman;Times;serif" w:hAnsi="Times New Roman;Times;serif"/>
                <w:sz w:val="20"/>
              </w:rPr>
              <w:t>Deferred income taxes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50"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50"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(14</w:t>
            </w:r>
          </w:p>
        </w:tc>
        <w:tc>
          <w:tcPr>
            <w:tcW w:w="80" w:type="dxa"/>
            <w:tcBorders/>
            <w:shd w:fill="CCEEFF" w:val="clear"/>
            <w:vAlign w:val="center"/>
          </w:tcPr>
          <w:p>
            <w:pPr>
              <w:pStyle w:val="TableContents"/>
              <w:bidi w:val="0"/>
              <w:spacing w:before="0" w:after="283"/>
              <w:ind w:left="360" w:right="0" w:hanging="0"/>
              <w:jc w:val="left"/>
              <w:rPr>
                <w:rFonts w:ascii="Times New Roman;Times;serif" w:hAnsi="Times New Roman;Times;serif"/>
                <w:sz w:val="20"/>
              </w:rPr>
            </w:pPr>
            <w:r>
              <w:rPr>
                <w:rFonts w:ascii="Times New Roman;Times;serif" w:hAnsi="Times New Roman;Times;serif"/>
                <w:sz w:val="20"/>
              </w:rPr>
              <w:t>)</w:t>
            </w:r>
          </w:p>
        </w:tc>
      </w:tr>
      <w:tr>
        <w:trPr/>
        <w:tc>
          <w:tcPr>
            <w:tcW w:w="7085" w:type="dxa"/>
            <w:tcBorders/>
            <w:shd w:fill="FFFFFF" w:val="clear"/>
            <w:vAlign w:val="center"/>
          </w:tcPr>
          <w:p>
            <w:pPr>
              <w:pStyle w:val="TableContents"/>
              <w:bidi w:val="0"/>
              <w:spacing w:before="0" w:after="0"/>
              <w:ind w:left="72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commodity derivatives losses, net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5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5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(537</w:t>
            </w:r>
          </w:p>
        </w:tc>
        <w:tc>
          <w:tcPr>
            <w:tcW w:w="80" w:type="dxa"/>
            <w:tcBorders/>
            <w:shd w:fill="FFFFFF" w:val="clear"/>
            <w:vAlign w:val="center"/>
          </w:tcPr>
          <w:p>
            <w:pPr>
              <w:pStyle w:val="TableContents"/>
              <w:bidi w:val="0"/>
              <w:spacing w:before="0" w:after="283"/>
              <w:ind w:left="360" w:right="0" w:hanging="0"/>
              <w:jc w:val="left"/>
              <w:rPr>
                <w:rFonts w:ascii="Times New Roman;Times;serif" w:hAnsi="Times New Roman;Times;serif"/>
                <w:sz w:val="20"/>
              </w:rPr>
            </w:pPr>
            <w:r>
              <w:rPr>
                <w:rFonts w:ascii="Times New Roman;Times;serif" w:hAnsi="Times New Roman;Times;serif"/>
                <w:sz w:val="20"/>
              </w:rPr>
              <w:t>)</w:t>
            </w:r>
          </w:p>
        </w:tc>
      </w:tr>
      <w:tr>
        <w:trPr/>
        <w:tc>
          <w:tcPr>
            <w:tcW w:w="7085" w:type="dxa"/>
            <w:tcBorders/>
            <w:shd w:fill="CCEEFF" w:val="clear"/>
            <w:vAlign w:val="center"/>
          </w:tcPr>
          <w:p>
            <w:pPr>
              <w:pStyle w:val="TableContents"/>
              <w:bidi w:val="0"/>
              <w:spacing w:before="0" w:after="0"/>
              <w:ind w:left="72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Commodity derivative settlements received</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5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5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2,381</w:t>
            </w:r>
          </w:p>
        </w:tc>
        <w:tc>
          <w:tcPr>
            <w:tcW w:w="80" w:type="dxa"/>
            <w:tcBorders/>
            <w:shd w:fill="CCEEFF" w:val="clear"/>
            <w:vAlign w:val="center"/>
          </w:tcPr>
          <w:p>
            <w:pPr>
              <w:pStyle w:val="TableContents"/>
              <w:bidi w:val="0"/>
              <w:spacing w:before="0" w:after="283"/>
              <w:ind w:left="360" w:right="0" w:hanging="0"/>
              <w:jc w:val="left"/>
              <w:rPr/>
            </w:pPr>
            <w:r>
              <w:rPr/>
              <w:t> </w:t>
            </w:r>
          </w:p>
        </w:tc>
      </w:tr>
      <w:tr>
        <w:trPr/>
        <w:tc>
          <w:tcPr>
            <w:tcW w:w="7085" w:type="dxa"/>
            <w:tcBorders/>
            <w:shd w:fill="FFFFFF" w:val="clear"/>
            <w:vAlign w:val="center"/>
          </w:tcPr>
          <w:p>
            <w:pPr>
              <w:pStyle w:val="TableContents"/>
              <w:bidi w:val="0"/>
              <w:spacing w:before="0" w:after="0"/>
              <w:ind w:left="72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Loss (gain) on marketable equity securities</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5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(180</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5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57</w:t>
            </w:r>
          </w:p>
        </w:tc>
        <w:tc>
          <w:tcPr>
            <w:tcW w:w="80" w:type="dxa"/>
            <w:tcBorders/>
            <w:shd w:fill="FFFFFF" w:val="clear"/>
            <w:vAlign w:val="center"/>
          </w:tcPr>
          <w:p>
            <w:pPr>
              <w:pStyle w:val="TableContents"/>
              <w:bidi w:val="0"/>
              <w:spacing w:before="0" w:after="283"/>
              <w:ind w:left="360" w:right="0" w:hanging="0"/>
              <w:jc w:val="left"/>
              <w:rPr/>
            </w:pPr>
            <w:r>
              <w:rPr/>
              <w:t> </w:t>
            </w:r>
          </w:p>
        </w:tc>
      </w:tr>
      <w:tr>
        <w:trPr/>
        <w:tc>
          <w:tcPr>
            <w:tcW w:w="7085" w:type="dxa"/>
            <w:tcBorders/>
            <w:shd w:fill="CCEEFF" w:val="clear"/>
            <w:vAlign w:val="center"/>
          </w:tcPr>
          <w:p>
            <w:pPr>
              <w:pStyle w:val="TableContents"/>
              <w:bidi w:val="0"/>
              <w:spacing w:before="0" w:after="0"/>
              <w:ind w:left="72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Impairment and loss on real estate held for sale</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5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5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w:t>
            </w:r>
          </w:p>
        </w:tc>
        <w:tc>
          <w:tcPr>
            <w:tcW w:w="80" w:type="dxa"/>
            <w:tcBorders/>
            <w:shd w:fill="CCEEFF" w:val="clear"/>
            <w:vAlign w:val="center"/>
          </w:tcPr>
          <w:p>
            <w:pPr>
              <w:pStyle w:val="TableContents"/>
              <w:bidi w:val="0"/>
              <w:spacing w:before="0" w:after="283"/>
              <w:ind w:left="360" w:right="0" w:hanging="0"/>
              <w:jc w:val="left"/>
              <w:rPr/>
            </w:pPr>
            <w:r>
              <w:rPr/>
              <w:t> </w:t>
            </w:r>
          </w:p>
        </w:tc>
      </w:tr>
      <w:tr>
        <w:trPr/>
        <w:tc>
          <w:tcPr>
            <w:tcW w:w="7085" w:type="dxa"/>
            <w:tcBorders/>
            <w:shd w:fill="FFFFFF" w:val="clear"/>
            <w:vAlign w:val="center"/>
          </w:tcPr>
          <w:p>
            <w:pPr>
              <w:pStyle w:val="TableContents"/>
              <w:bidi w:val="0"/>
              <w:spacing w:before="0" w:after="0"/>
              <w:ind w:left="72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Amortization of debt issuance costs</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5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100</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5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37</w:t>
            </w:r>
          </w:p>
        </w:tc>
        <w:tc>
          <w:tcPr>
            <w:tcW w:w="80" w:type="dxa"/>
            <w:tcBorders/>
            <w:shd w:fill="FFFFFF" w:val="clear"/>
            <w:vAlign w:val="center"/>
          </w:tcPr>
          <w:p>
            <w:pPr>
              <w:pStyle w:val="TableContents"/>
              <w:bidi w:val="0"/>
              <w:spacing w:before="0" w:after="283"/>
              <w:ind w:left="360" w:right="0" w:hanging="0"/>
              <w:jc w:val="left"/>
              <w:rPr/>
            </w:pPr>
            <w:r>
              <w:rPr/>
              <w:t> </w:t>
            </w:r>
          </w:p>
        </w:tc>
      </w:tr>
      <w:tr>
        <w:trPr/>
        <w:tc>
          <w:tcPr>
            <w:tcW w:w="7085" w:type="dxa"/>
            <w:tcBorders/>
            <w:shd w:fill="CCEEFF" w:val="clear"/>
            <w:vAlign w:val="center"/>
          </w:tcPr>
          <w:p>
            <w:pPr>
              <w:pStyle w:val="TableContents"/>
              <w:bidi w:val="0"/>
              <w:spacing w:before="0" w:after="0"/>
              <w:ind w:left="72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Stock-based compensation</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5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1,454</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5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950</w:t>
            </w:r>
          </w:p>
        </w:tc>
        <w:tc>
          <w:tcPr>
            <w:tcW w:w="80" w:type="dxa"/>
            <w:tcBorders/>
            <w:shd w:fill="CCEEFF" w:val="clear"/>
            <w:vAlign w:val="center"/>
          </w:tcPr>
          <w:p>
            <w:pPr>
              <w:pStyle w:val="TableContents"/>
              <w:bidi w:val="0"/>
              <w:spacing w:before="0" w:after="283"/>
              <w:ind w:left="360" w:right="0" w:hanging="0"/>
              <w:jc w:val="left"/>
              <w:rPr/>
            </w:pPr>
            <w:r>
              <w:rPr/>
              <w:t> </w:t>
            </w:r>
          </w:p>
        </w:tc>
      </w:tr>
      <w:tr>
        <w:trPr/>
        <w:tc>
          <w:tcPr>
            <w:tcW w:w="7085" w:type="dxa"/>
            <w:tcBorders/>
            <w:shd w:fill="FFFFFF" w:val="clear"/>
            <w:vAlign w:val="center"/>
          </w:tcPr>
          <w:p>
            <w:pPr>
              <w:pStyle w:val="TableContents"/>
              <w:bidi w:val="0"/>
              <w:spacing w:before="0" w:after="0"/>
              <w:ind w:left="72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Right-of-use asset amortization</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5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129</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5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123</w:t>
            </w:r>
          </w:p>
        </w:tc>
        <w:tc>
          <w:tcPr>
            <w:tcW w:w="80" w:type="dxa"/>
            <w:tcBorders/>
            <w:shd w:fill="FFFFFF" w:val="clear"/>
            <w:vAlign w:val="center"/>
          </w:tcPr>
          <w:p>
            <w:pPr>
              <w:pStyle w:val="TableContents"/>
              <w:bidi w:val="0"/>
              <w:spacing w:before="0" w:after="283"/>
              <w:ind w:left="0" w:right="0" w:hanging="0"/>
              <w:jc w:val="left"/>
              <w:rPr/>
            </w:pPr>
            <w:r>
              <w:rPr/>
              <w:t> </w:t>
            </w:r>
          </w:p>
        </w:tc>
      </w:tr>
      <w:tr>
        <w:trPr/>
        <w:tc>
          <w:tcPr>
            <w:tcW w:w="7085" w:type="dxa"/>
            <w:tcBorders/>
            <w:shd w:fill="CCEEFF" w:val="clear"/>
            <w:vAlign w:val="center"/>
          </w:tcPr>
          <w:p>
            <w:pPr>
              <w:pStyle w:val="TableContents"/>
              <w:bidi w:val="0"/>
              <w:spacing w:before="0" w:after="0"/>
              <w:ind w:left="0" w:right="0" w:firstLine="360"/>
              <w:jc w:val="left"/>
              <w:rPr>
                <w:rFonts w:ascii="Times New Roman;Times;serif" w:hAnsi="Times New Roman;Times;serif"/>
                <w:sz w:val="20"/>
              </w:rPr>
            </w:pPr>
            <w:r>
              <w:rPr>
                <w:rFonts w:ascii="Times New Roman;Times;serif" w:hAnsi="Times New Roman;Times;serif"/>
                <w:sz w:val="20"/>
              </w:rPr>
              <w:t>Changes in operating assets and liabilities: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50"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50"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ind w:left="540" w:right="0" w:hanging="0"/>
              <w:jc w:val="left"/>
              <w:rPr/>
            </w:pPr>
            <w:r>
              <w:rPr/>
              <w:t> </w:t>
            </w:r>
          </w:p>
        </w:tc>
      </w:tr>
      <w:tr>
        <w:trPr/>
        <w:tc>
          <w:tcPr>
            <w:tcW w:w="7085" w:type="dxa"/>
            <w:tcBorders/>
            <w:shd w:fill="FFFFFF" w:val="clear"/>
            <w:vAlign w:val="center"/>
          </w:tcPr>
          <w:p>
            <w:pPr>
              <w:pStyle w:val="TableContents"/>
              <w:bidi w:val="0"/>
              <w:spacing w:before="0" w:after="0"/>
              <w:ind w:left="10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Oil and natural gas sales receivable</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5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807</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5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920</w:t>
            </w:r>
          </w:p>
        </w:tc>
        <w:tc>
          <w:tcPr>
            <w:tcW w:w="80" w:type="dxa"/>
            <w:tcBorders/>
            <w:shd w:fill="FFFFFF" w:val="clear"/>
            <w:vAlign w:val="center"/>
          </w:tcPr>
          <w:p>
            <w:pPr>
              <w:pStyle w:val="TableContents"/>
              <w:bidi w:val="0"/>
              <w:spacing w:before="0" w:after="283"/>
              <w:ind w:left="540" w:right="0" w:hanging="0"/>
              <w:jc w:val="left"/>
              <w:rPr/>
            </w:pPr>
            <w:r>
              <w:rPr/>
              <w:t> </w:t>
            </w:r>
          </w:p>
        </w:tc>
      </w:tr>
      <w:tr>
        <w:trPr/>
        <w:tc>
          <w:tcPr>
            <w:tcW w:w="7085" w:type="dxa"/>
            <w:tcBorders/>
            <w:shd w:fill="CCEEFF" w:val="clear"/>
            <w:vAlign w:val="center"/>
          </w:tcPr>
          <w:p>
            <w:pPr>
              <w:pStyle w:val="TableContents"/>
              <w:bidi w:val="0"/>
              <w:spacing w:before="0" w:after="0"/>
              <w:ind w:left="10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Accounts payable and accrued liabilities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5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(1,792</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5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80</w:t>
            </w:r>
          </w:p>
        </w:tc>
        <w:tc>
          <w:tcPr>
            <w:tcW w:w="80" w:type="dxa"/>
            <w:tcBorders/>
            <w:shd w:fill="CCEEFF" w:val="clear"/>
            <w:vAlign w:val="center"/>
          </w:tcPr>
          <w:p>
            <w:pPr>
              <w:pStyle w:val="TableContents"/>
              <w:bidi w:val="0"/>
              <w:spacing w:before="0" w:after="283"/>
              <w:ind w:left="540" w:right="0" w:hanging="0"/>
              <w:jc w:val="left"/>
              <w:rPr/>
            </w:pPr>
            <w:r>
              <w:rPr/>
              <w:t> </w:t>
            </w:r>
          </w:p>
        </w:tc>
      </w:tr>
      <w:tr>
        <w:trPr/>
        <w:tc>
          <w:tcPr>
            <w:tcW w:w="7085" w:type="dxa"/>
            <w:tcBorders/>
            <w:shd w:fill="FFFFFF" w:val="clear"/>
            <w:vAlign w:val="center"/>
          </w:tcPr>
          <w:p>
            <w:pPr>
              <w:pStyle w:val="TableContents"/>
              <w:bidi w:val="0"/>
              <w:spacing w:before="0" w:after="0"/>
              <w:ind w:left="10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Accrued compensation and benefits</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5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(791</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5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(91</w:t>
            </w:r>
          </w:p>
        </w:tc>
        <w:tc>
          <w:tcPr>
            <w:tcW w:w="80" w:type="dxa"/>
            <w:tcBorders/>
            <w:shd w:fill="FFFFFF" w:val="clear"/>
            <w:vAlign w:val="center"/>
          </w:tcPr>
          <w:p>
            <w:pPr>
              <w:pStyle w:val="TableContents"/>
              <w:bidi w:val="0"/>
              <w:spacing w:before="0" w:after="283"/>
              <w:ind w:left="540" w:right="0" w:hanging="0"/>
              <w:jc w:val="left"/>
              <w:rPr>
                <w:rFonts w:ascii="Times New Roman;Times;serif" w:hAnsi="Times New Roman;Times;serif"/>
                <w:sz w:val="20"/>
              </w:rPr>
            </w:pPr>
            <w:r>
              <w:rPr>
                <w:rFonts w:ascii="Times New Roman;Times;serif" w:hAnsi="Times New Roman;Times;serif"/>
                <w:sz w:val="20"/>
              </w:rPr>
              <w:t>)</w:t>
            </w:r>
          </w:p>
        </w:tc>
      </w:tr>
      <w:tr>
        <w:trPr/>
        <w:tc>
          <w:tcPr>
            <w:tcW w:w="7085" w:type="dxa"/>
            <w:tcBorders/>
            <w:shd w:fill="CCEEFF" w:val="clear"/>
            <w:vAlign w:val="center"/>
          </w:tcPr>
          <w:p>
            <w:pPr>
              <w:pStyle w:val="TableContents"/>
              <w:bidi w:val="0"/>
              <w:spacing w:before="0" w:after="0"/>
              <w:ind w:left="10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Other operating assets and liabilities, net</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5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(613</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5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(503</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70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50"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50"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ind w:left="720" w:right="0" w:hanging="0"/>
              <w:jc w:val="left"/>
              <w:rPr/>
            </w:pPr>
            <w:r>
              <w:rPr/>
              <w:t> </w:t>
            </w:r>
          </w:p>
        </w:tc>
      </w:tr>
      <w:tr>
        <w:trPr/>
        <w:tc>
          <w:tcPr>
            <w:tcW w:w="7085" w:type="dxa"/>
            <w:tcBorders/>
            <w:shd w:fill="CCEEFF" w:val="clear"/>
            <w:vAlign w:val="center"/>
          </w:tcPr>
          <w:p>
            <w:pPr>
              <w:pStyle w:val="TableContents"/>
              <w:bidi w:val="0"/>
              <w:spacing w:before="0" w:after="0"/>
              <w:ind w:left="144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cash provided by (used in) operating activities</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5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(6,281</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5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2,891</w:t>
            </w:r>
          </w:p>
        </w:tc>
        <w:tc>
          <w:tcPr>
            <w:tcW w:w="80" w:type="dxa"/>
            <w:tcBorders/>
            <w:shd w:fill="CCEEFF" w:val="clear"/>
            <w:vAlign w:val="center"/>
          </w:tcPr>
          <w:p>
            <w:pPr>
              <w:pStyle w:val="TableContents"/>
              <w:bidi w:val="0"/>
              <w:spacing w:before="0" w:after="283"/>
              <w:jc w:val="left"/>
              <w:rPr/>
            </w:pPr>
            <w:r>
              <w:rPr/>
              <w:t> </w:t>
            </w:r>
          </w:p>
        </w:tc>
      </w:tr>
      <w:tr>
        <w:trPr/>
        <w:tc>
          <w:tcPr>
            <w:tcW w:w="70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50"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50"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ind w:left="0" w:right="0" w:hanging="0"/>
              <w:jc w:val="left"/>
              <w:rPr/>
            </w:pPr>
            <w:r>
              <w:rPr/>
              <w:t> </w:t>
            </w:r>
          </w:p>
        </w:tc>
      </w:tr>
      <w:tr>
        <w:trPr/>
        <w:tc>
          <w:tcPr>
            <w:tcW w:w="7085" w:type="dxa"/>
            <w:tcBorders/>
            <w:shd w:fill="CCEE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Cash flows from investing activities: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50"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50"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ind w:left="180" w:right="0" w:hanging="0"/>
              <w:jc w:val="left"/>
              <w:rPr/>
            </w:pPr>
            <w:r>
              <w:rPr/>
              <w:t> </w:t>
            </w:r>
          </w:p>
        </w:tc>
      </w:tr>
      <w:tr>
        <w:trPr/>
        <w:tc>
          <w:tcPr>
            <w:tcW w:w="7085" w:type="dxa"/>
            <w:tcBorders/>
            <w:shd w:fill="FFFF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Acquisition of industrial gas properties</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5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(2,128</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5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(2,368</w:t>
            </w:r>
          </w:p>
        </w:tc>
        <w:tc>
          <w:tcPr>
            <w:tcW w:w="80"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7085" w:type="dxa"/>
            <w:tcBorders/>
            <w:shd w:fill="CCEEFF" w:val="clear"/>
            <w:vAlign w:val="center"/>
          </w:tcPr>
          <w:p>
            <w:pPr>
              <w:pStyle w:val="TableContents"/>
              <w:bidi w:val="0"/>
              <w:spacing w:before="0" w:after="0"/>
              <w:ind w:left="0" w:right="0" w:firstLine="180"/>
              <w:jc w:val="left"/>
              <w:rPr>
                <w:rFonts w:ascii="Times New Roman;Times;serif" w:hAnsi="Times New Roman;Times;serif"/>
                <w:sz w:val="20"/>
              </w:rPr>
            </w:pPr>
            <w:r>
              <w:rPr>
                <w:rFonts w:ascii="Times New Roman;Times;serif" w:hAnsi="Times New Roman;Times;serif"/>
                <w:sz w:val="20"/>
              </w:rPr>
              <w:t>Industrial gas capital expenditures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5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(7,653</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5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(1,599</w:t>
            </w:r>
          </w:p>
        </w:tc>
        <w:tc>
          <w:tcPr>
            <w:tcW w:w="80" w:type="dxa"/>
            <w:tcBorders/>
            <w:shd w:fill="CCEEFF" w:val="clear"/>
            <w:vAlign w:val="center"/>
          </w:tcPr>
          <w:p>
            <w:pPr>
              <w:pStyle w:val="TableContents"/>
              <w:bidi w:val="0"/>
              <w:spacing w:before="0" w:after="283"/>
              <w:ind w:left="180" w:right="0" w:hanging="0"/>
              <w:jc w:val="left"/>
              <w:rPr>
                <w:rFonts w:ascii="Times New Roman;Times;serif" w:hAnsi="Times New Roman;Times;serif"/>
                <w:sz w:val="20"/>
              </w:rPr>
            </w:pPr>
            <w:r>
              <w:rPr>
                <w:rFonts w:ascii="Times New Roman;Times;serif" w:hAnsi="Times New Roman;Times;serif"/>
                <w:sz w:val="20"/>
              </w:rPr>
              <w:t>)</w:t>
            </w:r>
          </w:p>
        </w:tc>
      </w:tr>
      <w:tr>
        <w:trPr/>
        <w:tc>
          <w:tcPr>
            <w:tcW w:w="7085" w:type="dxa"/>
            <w:tcBorders/>
            <w:shd w:fill="FFFF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Oil and natural gas capital expenditures</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5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(18</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5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(1,158</w:t>
            </w:r>
          </w:p>
        </w:tc>
        <w:tc>
          <w:tcPr>
            <w:tcW w:w="80" w:type="dxa"/>
            <w:tcBorders/>
            <w:shd w:fill="FFFFFF" w:val="clear"/>
            <w:vAlign w:val="center"/>
          </w:tcPr>
          <w:p>
            <w:pPr>
              <w:pStyle w:val="TableContents"/>
              <w:bidi w:val="0"/>
              <w:spacing w:before="0" w:after="283"/>
              <w:ind w:left="180" w:right="0" w:hanging="0"/>
              <w:jc w:val="left"/>
              <w:rPr>
                <w:rFonts w:ascii="Times New Roman;Times;serif" w:hAnsi="Times New Roman;Times;serif"/>
                <w:sz w:val="20"/>
              </w:rPr>
            </w:pPr>
            <w:r>
              <w:rPr>
                <w:rFonts w:ascii="Times New Roman;Times;serif" w:hAnsi="Times New Roman;Times;serif"/>
                <w:sz w:val="20"/>
              </w:rPr>
              <w:t>)</w:t>
            </w:r>
          </w:p>
        </w:tc>
      </w:tr>
      <w:tr>
        <w:trPr/>
        <w:tc>
          <w:tcPr>
            <w:tcW w:w="7085" w:type="dxa"/>
            <w:tcBorders/>
            <w:shd w:fill="CCEE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Property and equipment expenditures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5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5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(189</w:t>
            </w:r>
          </w:p>
        </w:tc>
        <w:tc>
          <w:tcPr>
            <w:tcW w:w="80" w:type="dxa"/>
            <w:tcBorders/>
            <w:shd w:fill="CCEEFF" w:val="clear"/>
            <w:vAlign w:val="center"/>
          </w:tcPr>
          <w:p>
            <w:pPr>
              <w:pStyle w:val="TableContents"/>
              <w:bidi w:val="0"/>
              <w:spacing w:before="0" w:after="283"/>
              <w:ind w:left="180" w:right="0" w:hanging="0"/>
              <w:jc w:val="left"/>
              <w:rPr>
                <w:rFonts w:ascii="Times New Roman;Times;serif" w:hAnsi="Times New Roman;Times;serif"/>
                <w:sz w:val="20"/>
              </w:rPr>
            </w:pPr>
            <w:r>
              <w:rPr>
                <w:rFonts w:ascii="Times New Roman;Times;serif" w:hAnsi="Times New Roman;Times;serif"/>
                <w:sz w:val="20"/>
              </w:rPr>
              <w:t>)</w:t>
            </w:r>
          </w:p>
        </w:tc>
      </w:tr>
      <w:tr>
        <w:trPr/>
        <w:tc>
          <w:tcPr>
            <w:tcW w:w="7085" w:type="dxa"/>
            <w:tcBorders/>
            <w:shd w:fill="FFFF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proceeds from sale of oil and natural gas properties</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5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134</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5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5,866</w:t>
            </w:r>
          </w:p>
        </w:tc>
        <w:tc>
          <w:tcPr>
            <w:tcW w:w="80" w:type="dxa"/>
            <w:tcBorders/>
            <w:shd w:fill="FFFFFF" w:val="clear"/>
            <w:vAlign w:val="center"/>
          </w:tcPr>
          <w:p>
            <w:pPr>
              <w:pStyle w:val="TableContents"/>
              <w:bidi w:val="0"/>
              <w:spacing w:before="0" w:after="283"/>
              <w:ind w:left="0" w:right="0" w:hanging="0"/>
              <w:jc w:val="left"/>
              <w:rPr/>
            </w:pPr>
            <w:r>
              <w:rPr/>
              <w:t> </w:t>
            </w:r>
          </w:p>
        </w:tc>
      </w:tr>
      <w:tr>
        <w:trPr/>
        <w:tc>
          <w:tcPr>
            <w:tcW w:w="7085" w:type="dxa"/>
            <w:tcBorders/>
            <w:shd w:fill="CCEEFF" w:val="clear"/>
            <w:vAlign w:val="center"/>
          </w:tcPr>
          <w:p>
            <w:pPr>
              <w:pStyle w:val="TableContents"/>
              <w:bidi w:val="0"/>
              <w:spacing w:before="0" w:after="0"/>
              <w:ind w:left="0" w:right="0" w:firstLine="180"/>
              <w:jc w:val="left"/>
              <w:rPr>
                <w:rFonts w:ascii="Times New Roman;Times;serif" w:hAnsi="Times New Roman;Times;serif"/>
                <w:sz w:val="20"/>
              </w:rPr>
            </w:pPr>
            <w:r>
              <w:rPr>
                <w:rFonts w:ascii="Times New Roman;Times;serif" w:hAnsi="Times New Roman;Times;serif"/>
                <w:sz w:val="20"/>
              </w:rPr>
              <w:t>Proceeds from sale of real estate assets</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5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5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139</w:t>
            </w:r>
          </w:p>
        </w:tc>
        <w:tc>
          <w:tcPr>
            <w:tcW w:w="80" w:type="dxa"/>
            <w:tcBorders/>
            <w:shd w:fill="CCEEFF" w:val="clear"/>
            <w:vAlign w:val="center"/>
          </w:tcPr>
          <w:p>
            <w:pPr>
              <w:pStyle w:val="TableContents"/>
              <w:bidi w:val="0"/>
              <w:spacing w:before="0" w:after="283"/>
              <w:jc w:val="left"/>
              <w:rPr/>
            </w:pPr>
            <w:r>
              <w:rPr/>
              <w:t> </w:t>
            </w:r>
          </w:p>
        </w:tc>
      </w:tr>
      <w:tr>
        <w:trPr/>
        <w:tc>
          <w:tcPr>
            <w:tcW w:w="70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50"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50"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ind w:left="720" w:right="0" w:hanging="0"/>
              <w:jc w:val="left"/>
              <w:rPr/>
            </w:pPr>
            <w:r>
              <w:rPr/>
              <w:t> </w:t>
            </w:r>
          </w:p>
        </w:tc>
      </w:tr>
      <w:tr>
        <w:trPr/>
        <w:tc>
          <w:tcPr>
            <w:tcW w:w="7085" w:type="dxa"/>
            <w:tcBorders/>
            <w:shd w:fill="CCEEFF" w:val="clear"/>
            <w:vAlign w:val="center"/>
          </w:tcPr>
          <w:p>
            <w:pPr>
              <w:pStyle w:val="TableContents"/>
              <w:bidi w:val="0"/>
              <w:spacing w:before="0" w:after="0"/>
              <w:ind w:left="144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cash provided by (used in) investing activities</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5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(9,668</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5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691</w:t>
            </w:r>
          </w:p>
        </w:tc>
        <w:tc>
          <w:tcPr>
            <w:tcW w:w="80" w:type="dxa"/>
            <w:tcBorders/>
            <w:shd w:fill="CCEEFF" w:val="clear"/>
            <w:vAlign w:val="center"/>
          </w:tcPr>
          <w:p>
            <w:pPr>
              <w:pStyle w:val="TableContents"/>
              <w:bidi w:val="0"/>
              <w:spacing w:before="0" w:after="283"/>
              <w:jc w:val="left"/>
              <w:rPr/>
            </w:pPr>
            <w:r>
              <w:rPr/>
              <w:t> </w:t>
            </w:r>
          </w:p>
        </w:tc>
      </w:tr>
      <w:tr>
        <w:trPr/>
        <w:tc>
          <w:tcPr>
            <w:tcW w:w="70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50"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50"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ind w:left="0" w:right="0" w:hanging="0"/>
              <w:jc w:val="left"/>
              <w:rPr/>
            </w:pPr>
            <w:r>
              <w:rPr/>
              <w:t> </w:t>
            </w:r>
          </w:p>
        </w:tc>
      </w:tr>
      <w:tr>
        <w:trPr/>
        <w:tc>
          <w:tcPr>
            <w:tcW w:w="7085" w:type="dxa"/>
            <w:tcBorders/>
            <w:shd w:fill="CCEE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Cash flows from financing activities: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50"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50"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ind w:left="180" w:right="0" w:hanging="0"/>
              <w:jc w:val="left"/>
              <w:rPr/>
            </w:pPr>
            <w:r>
              <w:rPr/>
              <w:t> </w:t>
            </w:r>
          </w:p>
        </w:tc>
      </w:tr>
      <w:tr>
        <w:trPr/>
        <w:tc>
          <w:tcPr>
            <w:tcW w:w="7085" w:type="dxa"/>
            <w:tcBorders/>
            <w:shd w:fill="FFFFFF" w:val="clear"/>
            <w:vAlign w:val="center"/>
          </w:tcPr>
          <w:p>
            <w:pPr>
              <w:pStyle w:val="TableContents"/>
              <w:bidi w:val="0"/>
              <w:spacing w:before="0" w:after="0"/>
              <w:ind w:left="360" w:right="180" w:hanging="0"/>
              <w:jc w:val="left"/>
              <w:rPr>
                <w:rFonts w:ascii="Times New Roman;Times;serif" w:hAnsi="Times New Roman;Times;serif"/>
                <w:sz w:val="20"/>
              </w:rPr>
            </w:pPr>
            <w:r>
              <w:rPr>
                <w:rFonts w:ascii="Times New Roman;Times;serif" w:hAnsi="Times New Roman;Times;serif"/>
                <w:sz w:val="20"/>
              </w:rPr>
              <w:t>Borrowings on credit facility</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5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5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2,000</w:t>
            </w:r>
          </w:p>
        </w:tc>
        <w:tc>
          <w:tcPr>
            <w:tcW w:w="80" w:type="dxa"/>
            <w:tcBorders/>
            <w:shd w:fill="FFFFFF" w:val="clear"/>
            <w:vAlign w:val="center"/>
          </w:tcPr>
          <w:p>
            <w:pPr>
              <w:pStyle w:val="TableContents"/>
              <w:bidi w:val="0"/>
              <w:spacing w:before="0" w:after="283"/>
              <w:jc w:val="left"/>
              <w:rPr/>
            </w:pPr>
            <w:r>
              <w:rPr/>
              <w:t> </w:t>
            </w:r>
          </w:p>
        </w:tc>
      </w:tr>
      <w:tr>
        <w:trPr/>
        <w:tc>
          <w:tcPr>
            <w:tcW w:w="7085" w:type="dxa"/>
            <w:tcBorders/>
            <w:shd w:fill="CCEEFF" w:val="clear"/>
            <w:vAlign w:val="center"/>
          </w:tcPr>
          <w:p>
            <w:pPr>
              <w:pStyle w:val="TableContents"/>
              <w:bidi w:val="0"/>
              <w:spacing w:before="0" w:after="0"/>
              <w:ind w:left="0" w:right="0" w:firstLine="180"/>
              <w:jc w:val="left"/>
              <w:rPr>
                <w:rFonts w:ascii="Times New Roman;Times;serif" w:hAnsi="Times New Roman;Times;serif"/>
                <w:sz w:val="20"/>
              </w:rPr>
            </w:pPr>
            <w:r>
              <w:rPr>
                <w:rFonts w:ascii="Times New Roman;Times;serif" w:hAnsi="Times New Roman;Times;serif"/>
                <w:sz w:val="20"/>
              </w:rPr>
              <w:t>Payments on credit facility</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50"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50"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(7,000</w:t>
            </w:r>
          </w:p>
        </w:tc>
        <w:tc>
          <w:tcPr>
            <w:tcW w:w="80" w:type="dxa"/>
            <w:tcBorders/>
            <w:shd w:fill="CCEEFF" w:val="clear"/>
            <w:vAlign w:val="center"/>
          </w:tcPr>
          <w:p>
            <w:pPr>
              <w:pStyle w:val="TableContents"/>
              <w:bidi w:val="0"/>
              <w:spacing w:before="0" w:after="283"/>
              <w:ind w:left="180" w:right="0" w:hanging="0"/>
              <w:jc w:val="left"/>
              <w:rPr>
                <w:rFonts w:ascii="Times New Roman;Times;serif" w:hAnsi="Times New Roman;Times;serif"/>
                <w:sz w:val="20"/>
              </w:rPr>
            </w:pPr>
            <w:r>
              <w:rPr>
                <w:rFonts w:ascii="Times New Roman;Times;serif" w:hAnsi="Times New Roman;Times;serif"/>
                <w:sz w:val="20"/>
              </w:rPr>
              <w:t>)</w:t>
            </w:r>
          </w:p>
        </w:tc>
      </w:tr>
      <w:tr>
        <w:trPr/>
        <w:tc>
          <w:tcPr>
            <w:tcW w:w="7085" w:type="dxa"/>
            <w:tcBorders/>
            <w:shd w:fill="FFFF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Payments on insurance premium finance note</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5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5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(62</w:t>
            </w:r>
          </w:p>
        </w:tc>
        <w:tc>
          <w:tcPr>
            <w:tcW w:w="80" w:type="dxa"/>
            <w:tcBorders/>
            <w:shd w:fill="FFFFFF" w:val="clear"/>
            <w:vAlign w:val="center"/>
          </w:tcPr>
          <w:p>
            <w:pPr>
              <w:pStyle w:val="TableContents"/>
              <w:bidi w:val="0"/>
              <w:spacing w:before="0" w:after="283"/>
              <w:ind w:left="180" w:right="0" w:hanging="0"/>
              <w:jc w:val="left"/>
              <w:rPr>
                <w:rFonts w:ascii="Times New Roman;Times;serif" w:hAnsi="Times New Roman;Times;serif"/>
                <w:sz w:val="20"/>
              </w:rPr>
            </w:pPr>
            <w:r>
              <w:rPr>
                <w:rFonts w:ascii="Times New Roman;Times;serif" w:hAnsi="Times New Roman;Times;serif"/>
                <w:sz w:val="20"/>
              </w:rPr>
              <w:t>)</w:t>
            </w:r>
          </w:p>
        </w:tc>
      </w:tr>
      <w:tr>
        <w:trPr/>
        <w:tc>
          <w:tcPr>
            <w:tcW w:w="7085" w:type="dxa"/>
            <w:tcBorders/>
            <w:shd w:fill="CCEE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Tax withholding for restricted stock awards vesting</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5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(346</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5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(132</w:t>
            </w:r>
          </w:p>
        </w:tc>
        <w:tc>
          <w:tcPr>
            <w:tcW w:w="80" w:type="dxa"/>
            <w:tcBorders/>
            <w:shd w:fill="CCEEFF" w:val="clear"/>
            <w:vAlign w:val="center"/>
          </w:tcPr>
          <w:p>
            <w:pPr>
              <w:pStyle w:val="TableContents"/>
              <w:bidi w:val="0"/>
              <w:spacing w:before="0" w:after="283"/>
              <w:ind w:left="180" w:right="0" w:hanging="0"/>
              <w:jc w:val="left"/>
              <w:rPr>
                <w:rFonts w:ascii="Times New Roman;Times;serif" w:hAnsi="Times New Roman;Times;serif"/>
                <w:sz w:val="20"/>
              </w:rPr>
            </w:pPr>
            <w:r>
              <w:rPr>
                <w:rFonts w:ascii="Times New Roman;Times;serif" w:hAnsi="Times New Roman;Times;serif"/>
                <w:sz w:val="20"/>
              </w:rPr>
              <w:t>)</w:t>
            </w:r>
          </w:p>
        </w:tc>
      </w:tr>
      <w:tr>
        <w:trPr/>
        <w:tc>
          <w:tcPr>
            <w:tcW w:w="7085" w:type="dxa"/>
            <w:tcBorders/>
            <w:shd w:fill="FFFF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Repurchases of common stock</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5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(316</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5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(584</w:t>
            </w:r>
          </w:p>
        </w:tc>
        <w:tc>
          <w:tcPr>
            <w:tcW w:w="80" w:type="dxa"/>
            <w:tcBorders/>
            <w:shd w:fill="FFFFFF" w:val="clear"/>
            <w:vAlign w:val="center"/>
          </w:tcPr>
          <w:p>
            <w:pPr>
              <w:pStyle w:val="TableContents"/>
              <w:bidi w:val="0"/>
              <w:spacing w:before="0" w:after="283"/>
              <w:ind w:left="180" w:right="0" w:hanging="0"/>
              <w:jc w:val="left"/>
              <w:rPr>
                <w:rFonts w:ascii="Times New Roman;Times;serif" w:hAnsi="Times New Roman;Times;serif"/>
                <w:sz w:val="20"/>
              </w:rPr>
            </w:pPr>
            <w:r>
              <w:rPr>
                <w:rFonts w:ascii="Times New Roman;Times;serif" w:hAnsi="Times New Roman;Times;serif"/>
                <w:sz w:val="20"/>
              </w:rPr>
              <w:t>)</w:t>
            </w:r>
          </w:p>
        </w:tc>
      </w:tr>
      <w:tr>
        <w:trPr/>
        <w:tc>
          <w:tcPr>
            <w:tcW w:w="7085" w:type="dxa"/>
            <w:tcBorders/>
            <w:shd w:fill="CCEE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Related party share repurchase</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5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(1,574</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5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shd w:fill="CCEEFF" w:val="clear"/>
            <w:vAlign w:val="center"/>
          </w:tcPr>
          <w:p>
            <w:pPr>
              <w:pStyle w:val="TableContents"/>
              <w:bidi w:val="0"/>
              <w:spacing w:before="0" w:after="283"/>
              <w:ind w:left="180" w:right="0" w:hanging="0"/>
              <w:jc w:val="left"/>
              <w:rPr/>
            </w:pPr>
            <w:r>
              <w:rPr/>
              <w:t> </w:t>
            </w:r>
          </w:p>
        </w:tc>
      </w:tr>
      <w:tr>
        <w:trPr/>
        <w:tc>
          <w:tcPr>
            <w:tcW w:w="7085" w:type="dxa"/>
            <w:tcBorders/>
            <w:shd w:fill="FFFF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Proceeds from underwritten offering</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5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11,877</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5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shd w:fill="FFFFFF" w:val="clear"/>
            <w:vAlign w:val="center"/>
          </w:tcPr>
          <w:p>
            <w:pPr>
              <w:pStyle w:val="TableContents"/>
              <w:bidi w:val="0"/>
              <w:spacing w:before="0" w:after="283"/>
              <w:jc w:val="left"/>
              <w:rPr/>
            </w:pPr>
            <w:r>
              <w:rPr/>
              <w:t> </w:t>
            </w:r>
          </w:p>
        </w:tc>
      </w:tr>
      <w:tr>
        <w:trPr/>
        <w:tc>
          <w:tcPr>
            <w:tcW w:w="70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50"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50"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ind w:left="0" w:right="0" w:hanging="0"/>
              <w:jc w:val="left"/>
              <w:rPr/>
            </w:pPr>
            <w:r>
              <w:rPr/>
              <w:t> </w:t>
            </w:r>
          </w:p>
        </w:tc>
      </w:tr>
      <w:tr>
        <w:trPr/>
        <w:tc>
          <w:tcPr>
            <w:tcW w:w="7085" w:type="dxa"/>
            <w:tcBorders/>
            <w:shd w:fill="FFFFFF" w:val="clear"/>
            <w:vAlign w:val="center"/>
          </w:tcPr>
          <w:p>
            <w:pPr>
              <w:pStyle w:val="TableContents"/>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Net cash provided by (used in) financing activities</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5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9,641</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5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(5,778</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70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50"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50"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ind w:left="0" w:right="0" w:hanging="0"/>
              <w:jc w:val="left"/>
              <w:rPr/>
            </w:pPr>
            <w:r>
              <w:rPr/>
              <w:t> </w:t>
            </w:r>
          </w:p>
        </w:tc>
      </w:tr>
      <w:tr>
        <w:trPr/>
        <w:tc>
          <w:tcPr>
            <w:tcW w:w="7085" w:type="dxa"/>
            <w:tcBorders/>
            <w:shd w:fill="FFFFFF" w:val="clear"/>
            <w:vAlign w:val="center"/>
          </w:tcPr>
          <w:p>
            <w:pPr>
              <w:pStyle w:val="TableContents"/>
              <w:bidi w:val="0"/>
              <w:spacing w:before="0" w:after="0"/>
              <w:ind w:left="0" w:right="0" w:firstLine="180"/>
              <w:jc w:val="left"/>
              <w:rPr>
                <w:rFonts w:ascii="Times New Roman;Times;serif" w:hAnsi="Times New Roman;Times;serif"/>
                <w:sz w:val="20"/>
              </w:rPr>
            </w:pPr>
            <w:r>
              <w:rPr>
                <w:rFonts w:ascii="Times New Roman;Times;serif" w:hAnsi="Times New Roman;Times;serif"/>
                <w:sz w:val="20"/>
              </w:rPr>
              <w:t>Net change in cash and equivalents</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5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(6,308</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5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(2,196</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70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50"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50"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ind w:left="180" w:right="0" w:hanging="0"/>
              <w:jc w:val="left"/>
              <w:rPr/>
            </w:pPr>
            <w:r>
              <w:rPr/>
              <w:t> </w:t>
            </w:r>
          </w:p>
        </w:tc>
      </w:tr>
      <w:tr>
        <w:trPr/>
        <w:tc>
          <w:tcPr>
            <w:tcW w:w="7085" w:type="dxa"/>
            <w:tcBorders/>
            <w:shd w:fill="FFFF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Cash and equivalents, beginning of period</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5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7,723</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5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3,351</w:t>
            </w:r>
          </w:p>
        </w:tc>
        <w:tc>
          <w:tcPr>
            <w:tcW w:w="80" w:type="dxa"/>
            <w:tcBorders/>
            <w:shd w:fill="FFFFFF" w:val="clear"/>
            <w:vAlign w:val="center"/>
          </w:tcPr>
          <w:p>
            <w:pPr>
              <w:pStyle w:val="TableContents"/>
              <w:bidi w:val="0"/>
              <w:spacing w:before="0" w:after="283"/>
              <w:jc w:val="left"/>
              <w:rPr/>
            </w:pPr>
            <w:r>
              <w:rPr/>
              <w:t> </w:t>
            </w:r>
          </w:p>
        </w:tc>
      </w:tr>
      <w:tr>
        <w:trPr/>
        <w:tc>
          <w:tcPr>
            <w:tcW w:w="70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50"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50"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ind w:left="180" w:right="0" w:hanging="0"/>
              <w:jc w:val="left"/>
              <w:rPr/>
            </w:pPr>
            <w:r>
              <w:rPr/>
              <w:t> </w:t>
            </w:r>
          </w:p>
        </w:tc>
      </w:tr>
      <w:tr>
        <w:trPr/>
        <w:tc>
          <w:tcPr>
            <w:tcW w:w="7085" w:type="dxa"/>
            <w:tcBorders/>
            <w:shd w:fill="FFFF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Cash and equivalents, end of period</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50"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1,415</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50"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1,155</w:t>
            </w:r>
          </w:p>
        </w:tc>
        <w:tc>
          <w:tcPr>
            <w:tcW w:w="80" w:type="dxa"/>
            <w:tcBorders/>
            <w:shd w:fill="FFFFFF" w:val="clear"/>
            <w:vAlign w:val="center"/>
          </w:tcPr>
          <w:p>
            <w:pPr>
              <w:pStyle w:val="TableContents"/>
              <w:bidi w:val="0"/>
              <w:spacing w:before="0" w:after="283"/>
              <w:jc w:val="left"/>
              <w:rPr/>
            </w:pPr>
            <w:r>
              <w:rPr/>
              <w:t> </w:t>
            </w:r>
          </w:p>
        </w:tc>
      </w:tr>
      <w:tr>
        <w:trPr/>
        <w:tc>
          <w:tcPr>
            <w:tcW w:w="70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50"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50"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 xml:space="preserve">The accompanying notes are an integral part of these unaudited Condensed Consolidated Financial Statements. Please see </w:t>
      </w:r>
      <w:r>
        <w:rPr>
          <w:rFonts w:ascii="Times New Roman" w:hAnsi="Times New Roman"/>
          <w:i/>
          <w:caps w:val="false"/>
          <w:smallCaps w:val="false"/>
          <w:sz w:val="20"/>
        </w:rPr>
        <w:t>Note-15- Supplemental Disclosures of Cash Flow Information</w:t>
      </w:r>
      <w:r>
        <w:rPr>
          <w:rFonts w:ascii="Times New Roman" w:hAnsi="Times New Roman"/>
          <w:caps w:val="false"/>
          <w:smallCaps w:val="false"/>
          <w:sz w:val="20"/>
        </w:rPr>
        <w:t>.</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7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U.S. ENERGY CORP. AND SUBSIDIARIES</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NOTES TO UNAUDITED CONDENSED CONSOLIDATED FINANCIAL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283"/>
        <w:jc w:val="left"/>
        <w:rPr/>
      </w:pPr>
      <w:r>
        <w:rPr/>
        <w:t xml:space="preserve">  </w:t>
      </w:r>
    </w:p>
    <w:p>
      <w:pPr>
        <w:pStyle w:val="TextBody"/>
        <w:bidi w:val="0"/>
        <w:spacing w:before="0" w:after="0"/>
        <w:ind w:left="0" w:right="0" w:hanging="0"/>
        <w:jc w:val="both"/>
        <w:rPr/>
      </w:pPr>
      <w:bookmarkStart w:id="10" w:name="notes"/>
      <w:bookmarkEnd w:id="10"/>
      <w:r>
        <w:rPr>
          <w:rStyle w:val="Emphasis"/>
          <w:rFonts w:ascii="Times New Roman" w:hAnsi="Times New Roman"/>
          <w:b/>
          <w:caps w:val="false"/>
          <w:smallCaps w:val="false"/>
          <w:sz w:val="20"/>
        </w:rPr>
        <w:t>1.</w:t>
      </w:r>
      <w:r>
        <w:rPr>
          <w:rFonts w:ascii="Times New Roman" w:hAnsi="Times New Roman"/>
          <w:b/>
          <w:caps w:val="false"/>
          <w:smallCaps w:val="false"/>
          <w:sz w:val="20"/>
        </w:rPr>
        <w:t xml:space="preserve"> ORGANIZATION, OPERATIONS AND SIGNIFICANT ACCOUNTING POLICIES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Organization and Operations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U.S. Energy Corp. (collectively with its wholly-owned subsidiaries are referred to as the “Company” in these notes to unaudited Condensed Consolidated Financial Statements) is incorporated in the State of Delaware. The Company’s principal business activities are focused on the acquisition, exploration, development and processing of helium, carbon dioxide, and hydrocarbons (collectively, "industrial gas" or "industrial gases"), and oil and natural gas properties (collectively referred to as "commodities" or "industrial gas and oil and natural gas") in the United States.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Basis of Presentation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accompanying unaudited Condensed Consolidated Financial Statements are presented in accordance with U.S. generally accepted accounting principles (“GAAP”) and have been prepared by the Company pursuant to the rules and regulations of the Securities and Exchange Commission (the “SEC”) regarding interim financial reporting. Accordingly, certain information and footnote disclosures required by GAAP for complete financial statements have been condensed or omitted in accordance with such rules and regulations. In the opinion of management, all adjustments (consisting of normal recurring adjustments) considered necessary for a fair presentation of the Condensed Consolidated Financial Statements have been included.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caps w:val="false"/>
          <w:smallCaps w:val="false"/>
          <w:sz w:val="20"/>
        </w:rPr>
        <w:t xml:space="preserve">For further information, refer to the consolidated financial statements and footnotes thereto included in our Annual Report on Form </w:t>
      </w:r>
      <w:r>
        <w:rPr>
          <w:rStyle w:val="Emphasis"/>
          <w:rFonts w:ascii="Times New Roman" w:hAnsi="Times New Roman"/>
          <w:caps w:val="false"/>
          <w:smallCaps w:val="false"/>
          <w:sz w:val="20"/>
        </w:rPr>
        <w:t>10</w:t>
      </w:r>
      <w:r>
        <w:rPr>
          <w:rFonts w:ascii="Times New Roman" w:hAnsi="Times New Roman"/>
          <w:caps w:val="false"/>
          <w:smallCaps w:val="false"/>
          <w:sz w:val="20"/>
        </w:rPr>
        <w:t xml:space="preserve">-K for the year ended </w:t>
      </w:r>
      <w:r>
        <w:rPr>
          <w:rStyle w:val="Emphasis"/>
          <w:rFonts w:ascii="Times New Roman" w:hAnsi="Times New Roman"/>
          <w:caps w:val="false"/>
          <w:smallCaps w:val="false"/>
          <w:sz w:val="20"/>
        </w:rPr>
        <w:t>December 31, 2024</w:t>
      </w:r>
      <w:r>
        <w:rPr>
          <w:rFonts w:ascii="Times New Roman" w:hAnsi="Times New Roman"/>
          <w:caps w:val="false"/>
          <w:smallCaps w:val="false"/>
          <w:sz w:val="20"/>
        </w:rPr>
        <w:t xml:space="preserve">, as filed with the SEC on </w:t>
      </w:r>
      <w:r>
        <w:rPr>
          <w:rStyle w:val="Emphasis"/>
          <w:rFonts w:ascii="Times New Roman" w:hAnsi="Times New Roman"/>
          <w:caps w:val="false"/>
          <w:smallCaps w:val="false"/>
          <w:sz w:val="20"/>
        </w:rPr>
        <w:t xml:space="preserve">March 13, 2025. </w:t>
      </w:r>
      <w:r>
        <w:rPr>
          <w:rFonts w:ascii="Times New Roman" w:hAnsi="Times New Roman"/>
          <w:caps w:val="false"/>
          <w:smallCaps w:val="false"/>
          <w:sz w:val="20"/>
        </w:rPr>
        <w:t xml:space="preserve">Our financial condition as of </w:t>
      </w:r>
      <w:r>
        <w:rPr>
          <w:rStyle w:val="Emphasis"/>
          <w:rFonts w:ascii="Times New Roman" w:hAnsi="Times New Roman"/>
          <w:caps w:val="false"/>
          <w:smallCaps w:val="false"/>
          <w:sz w:val="20"/>
        </w:rPr>
        <w:t>September 30, 2025</w:t>
      </w:r>
      <w:r>
        <w:rPr>
          <w:rFonts w:ascii="Times New Roman" w:hAnsi="Times New Roman"/>
          <w:caps w:val="false"/>
          <w:smallCaps w:val="false"/>
          <w:sz w:val="20"/>
        </w:rPr>
        <w:t xml:space="preserve">, and operating results for the </w:t>
      </w:r>
      <w:r>
        <w:rPr>
          <w:rStyle w:val="Emphasis"/>
          <w:rFonts w:ascii="Times New Roman" w:hAnsi="Times New Roman"/>
          <w:caps w:val="false"/>
          <w:smallCaps w:val="false"/>
          <w:sz w:val="20"/>
        </w:rPr>
        <w:t>three</w:t>
      </w:r>
      <w:r>
        <w:rPr>
          <w:rFonts w:ascii="Times New Roman" w:hAnsi="Times New Roman"/>
          <w:caps w:val="false"/>
          <w:smallCaps w:val="false"/>
          <w:sz w:val="20"/>
        </w:rPr>
        <w:t xml:space="preserve"> and </w:t>
      </w:r>
      <w:r>
        <w:rPr>
          <w:rStyle w:val="Emphasis"/>
          <w:rFonts w:ascii="Times New Roman" w:hAnsi="Times New Roman"/>
          <w:caps w:val="false"/>
          <w:smallCaps w:val="false"/>
          <w:sz w:val="20"/>
        </w:rPr>
        <w:t>nine</w:t>
      </w:r>
      <w:r>
        <w:rPr>
          <w:rFonts w:ascii="Times New Roman" w:hAnsi="Times New Roman"/>
          <w:caps w:val="false"/>
          <w:smallCaps w:val="false"/>
          <w:sz w:val="20"/>
        </w:rPr>
        <w:t xml:space="preserve"> months ended </w:t>
      </w:r>
      <w:r>
        <w:rPr>
          <w:rStyle w:val="Emphasis"/>
          <w:rFonts w:ascii="Times New Roman" w:hAnsi="Times New Roman"/>
          <w:caps w:val="false"/>
          <w:smallCaps w:val="false"/>
          <w:sz w:val="20"/>
        </w:rPr>
        <w:t>September 30, 2025</w:t>
      </w:r>
      <w:r>
        <w:rPr>
          <w:rFonts w:ascii="Times New Roman" w:hAnsi="Times New Roman"/>
          <w:caps w:val="false"/>
          <w:smallCaps w:val="false"/>
          <w:sz w:val="20"/>
        </w:rPr>
        <w:t xml:space="preserve">, are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necessarily indicative of the financial condition and results of operations that </w:t>
      </w:r>
      <w:r>
        <w:rPr>
          <w:rStyle w:val="Emphasis"/>
          <w:rFonts w:ascii="Times New Roman" w:hAnsi="Times New Roman"/>
          <w:caps w:val="false"/>
          <w:smallCaps w:val="false"/>
          <w:sz w:val="20"/>
        </w:rPr>
        <w:t xml:space="preserve">may </w:t>
      </w:r>
      <w:r>
        <w:rPr>
          <w:rFonts w:ascii="Times New Roman" w:hAnsi="Times New Roman"/>
          <w:caps w:val="false"/>
          <w:smallCaps w:val="false"/>
          <w:sz w:val="20"/>
        </w:rPr>
        <w:t xml:space="preserve">be expected for any future interim period or for the year ending </w:t>
      </w:r>
      <w:r>
        <w:rPr>
          <w:rStyle w:val="Emphasis"/>
          <w:rFonts w:ascii="Times New Roman" w:hAnsi="Times New Roman"/>
          <w:caps w:val="false"/>
          <w:smallCaps w:val="false"/>
          <w:sz w:val="20"/>
        </w:rPr>
        <w:t>December 31, 2025.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Use of Estimates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preparation of financial statements in conformity with GAAP requires management to make estimates and assumptions that affect the reported amounts of assets and liabilities, disclosure of contingent assets and liabilities at the date of the financial statements and the reported amounts of revenues and expenses during the reporting period. Significant estimates include oil and natural gas reserves that are used in the calculation of depreciation, depletion, amortization ("DD&amp;A") and impairment of the carrying value of proved oil and natural gas properties, and the cost and timing of future asset retirement obligations. The Company evaluates its estimates on an on-going basis and bases its estimates on historical experience and on various other assumptions the Company believes to be reasonable. Due to inherent uncertainties, including the future prices of oil and natural gas, these estimates could change in the near term and such changes could be material.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Principles of Consolidation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accompanying unaudited Condensed Consolidated Financial Statements have been prepared in conformity with GAAP and include the accounts of U.S. Energy Corp. and its wholly-owned subsidiaries. U.S. Energy Corp. accounts for its share of oil and natural gas exploration and production activities, and industrial gas activities in which it has a direct working interest, by reporting its proportionate share of assets, liabilities, revenues, costs, and cash flows within the relevant lines on the Condensed Consolidated Balance Sheets, Condensed Consolidated Statements of Operations, and Condensed Consolidated Statements of Cash Flows. All inter-company balances and transactions have been eliminated in consolidation.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 xml:space="preserve">Industry Segment and Geographic Information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Company currently operates in the exploration and production segment of the oil and natural gas industry, onshore in the United States. The Company’s operations are all related to oil and natural gas from which the Company derives all its revenues. The Company manages its business as a single reportable segment, as its operations are focused on assets with similar economic characteristics, production processes, types of purchasers, regulatory environment and customers which are consistent across the Company. Therefore, the Company aggregates its operating regions into one reportable segment. Our principal properties and operations are currently in the Rockies region (Montana, and Wyoming), the Mid-Continent region (Oklahoma, Kansas, and North and East Texas), and West Texas, South Texas and Gulf Coast region. Our Chief Executive Officer is our chief operating decision maker (CODM). The CODM utilizes operating income or loss as the primary operating measure to evaluate the performance of properties, which is revenues less lease operating expenses. Other segment items primarily consist of total assets, DD&amp;A, general and administrative expense, gain or loss on derivative activity, interest expense and income tax expense or benefit. Our significant segment expenses and other segment items are derived from and can be found within the Condensed Consolidated Balance Sheets and Condensed Consolidated Statements of Operations.</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Industrial Gas Properties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Company capitalizes all costs associated with the acquisition, exploration and development of industrial gas properties. The acquisition of leases, costs of acquiring drilling permits, drilling, development and asset retirement costs are capitalized as exploration and unevaluated properties. When commercially viable quantities of industrial gas resources are discovered, the associated costs are reclassified to evaluated assets. Insignificant unevaluated properties will be subject to amortization over the lease life unless the property is held in perpetuity by ongoing operations. The Company will periodically assess significant exploration and unevaluated properties on a property by property basis to determine whether they have been impaired. The assessment would include a review of capital plans including drilling or construction of production infrastructure on the property and assessment of expected cash flows for recoverability. Any additional costs to develop the properties or to construct infrastructure to produce and process industrial gases, including processing plant construction costs, will be capitalized as evaluated. Interest expense, if any, is capitalized on qualifying expenditures. Evaluated industrial gas properties are subject to DD&amp;A once production commences utilizing the units of production method. Evaluated industrial gas properties are stated at cost, less accumulated depletion, depreciation and amortization.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pPr>
      <w:r>
        <w:rPr>
          <w:rStyle w:val="Emphasis"/>
          <w:rFonts w:ascii="Times New Roman" w:hAnsi="Times New Roman"/>
          <w:sz w:val="20"/>
        </w:rPr>
        <w:t>8</w:t>
      </w:r>
      <w:r>
        <w:rPr>
          <w:rFonts w:ascii="Times New Roman" w:hAnsi="Times New Roman"/>
          <w:sz w:val="20"/>
        </w:rPr>
        <w:t xml:space="preserve">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283"/>
        <w:jc w:val="left"/>
        <w:rPr/>
      </w:pPr>
      <w:r>
        <w:rPr/>
        <w:t xml:space="preserve">  </w:t>
      </w:r>
    </w:p>
    <w:p>
      <w:pPr>
        <w:pStyle w:val="TextBody"/>
        <w:bidi w:val="0"/>
        <w:spacing w:before="0" w:after="0"/>
        <w:ind w:left="0" w:right="0" w:hanging="0"/>
        <w:jc w:val="both"/>
        <w:rPr/>
      </w:pPr>
      <w:r>
        <w:rPr>
          <w:rFonts w:ascii="Times New Roman" w:hAnsi="Times New Roman"/>
          <w:caps w:val="false"/>
          <w:smallCaps w:val="false"/>
          <w:sz w:val="20"/>
        </w:rPr>
        <w:t xml:space="preserve">The carrying value of evaluated properties is reviewed for impairment when there are indications that it </w:t>
      </w:r>
      <w:r>
        <w:rPr>
          <w:rStyle w:val="Emphasis"/>
          <w:rFonts w:ascii="Times New Roman" w:hAnsi="Times New Roman"/>
          <w:caps w:val="false"/>
          <w:smallCaps w:val="false"/>
          <w:sz w:val="20"/>
        </w:rPr>
        <w:t>may not</w:t>
      </w:r>
      <w:r>
        <w:rPr>
          <w:rFonts w:ascii="Times New Roman" w:hAnsi="Times New Roman"/>
          <w:caps w:val="false"/>
          <w:smallCaps w:val="false"/>
          <w:sz w:val="20"/>
        </w:rPr>
        <w:t xml:space="preserve"> be recoverable due to significant and prolonged declines in prices, significant reductions in estimated resources, changes in the Company’s plans or other significant events that indicate that an impairment </w:t>
      </w:r>
      <w:r>
        <w:rPr>
          <w:rStyle w:val="Emphasis"/>
          <w:rFonts w:ascii="Times New Roman" w:hAnsi="Times New Roman"/>
          <w:caps w:val="false"/>
          <w:smallCaps w:val="false"/>
          <w:sz w:val="20"/>
        </w:rPr>
        <w:t xml:space="preserve">may </w:t>
      </w:r>
      <w:r>
        <w:rPr>
          <w:rFonts w:ascii="Times New Roman" w:hAnsi="Times New Roman"/>
          <w:caps w:val="false"/>
          <w:smallCaps w:val="false"/>
          <w:sz w:val="20"/>
        </w:rPr>
        <w:t>exist. If any such indication of impairment exists and the sum of the undiscounted cash flows is less than the carrying value of the evaluated property, the carrying value is reduced to estimated fair value and reported as an impairment charge in the period with a reduction in the associated carrying cost. Individual evaluated properties are grouped for impairment purposes at the lowest level for which there are identifiable cash flows. The fair value of impaired property is typically determined based on the present value of expected future cash flows using discount rates believed to be consistent with market participants. The impairment test incorporates several assumptions involving expectations of future cash flows which can change significantly over time. These assumptions include estimates of future production, future contracted industrial gas prices, estimates of future operating and development costs.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caps w:val="false"/>
          <w:smallCaps w:val="false"/>
          <w:sz w:val="20"/>
        </w:rPr>
        <w:t xml:space="preserve">Proceeds from partial dispositions of unevaluated property are offset against the acquisition cost with </w:t>
      </w:r>
      <w:r>
        <w:rPr>
          <w:rStyle w:val="Emphasis"/>
          <w:rFonts w:ascii="Times New Roman" w:hAnsi="Times New Roman"/>
          <w:caps w:val="false"/>
          <w:smallCaps w:val="false"/>
          <w:sz w:val="20"/>
        </w:rPr>
        <w:t>no</w:t>
      </w:r>
      <w:r>
        <w:rPr>
          <w:rFonts w:ascii="Times New Roman" w:hAnsi="Times New Roman"/>
          <w:caps w:val="false"/>
          <w:smallCaps w:val="false"/>
          <w:sz w:val="20"/>
        </w:rPr>
        <w:t xml:space="preserve"> gain or loss recognized and the remaining unevaluated property will be subject to impairment assessment. In the event we dispose of all interest in a significant, unevaluated property, gain or loss will be recognized. Gain or loss will be recognized on dispositions of evaluated properties.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Recently Adopted Accounting Standards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caps w:val="false"/>
          <w:smallCaps w:val="false"/>
          <w:sz w:val="20"/>
        </w:rPr>
        <w:t xml:space="preserve">In </w:t>
      </w:r>
      <w:r>
        <w:rPr>
          <w:rStyle w:val="Emphasis"/>
          <w:rFonts w:ascii="Times New Roman" w:hAnsi="Times New Roman"/>
          <w:caps w:val="false"/>
          <w:smallCaps w:val="false"/>
          <w:sz w:val="20"/>
        </w:rPr>
        <w:t xml:space="preserve">December 2023, </w:t>
      </w:r>
      <w:r>
        <w:rPr>
          <w:rFonts w:ascii="Times New Roman" w:hAnsi="Times New Roman"/>
          <w:caps w:val="false"/>
          <w:smallCaps w:val="false"/>
          <w:sz w:val="20"/>
        </w:rPr>
        <w:t xml:space="preserve">the Financial Accounting Standards Board (FASB) issued Accounting Standards Update (ASU) </w:t>
      </w:r>
      <w:r>
        <w:rPr>
          <w:rStyle w:val="Emphasis"/>
          <w:rFonts w:ascii="Times New Roman" w:hAnsi="Times New Roman"/>
          <w:caps w:val="false"/>
          <w:smallCaps w:val="false"/>
          <w:sz w:val="20"/>
        </w:rPr>
        <w:t>2023</w:t>
      </w:r>
      <w:r>
        <w:rPr>
          <w:rFonts w:ascii="Times New Roman" w:hAnsi="Times New Roman"/>
          <w:caps w:val="false"/>
          <w:smallCaps w:val="false"/>
          <w:sz w:val="20"/>
        </w:rPr>
        <w:t>-</w:t>
      </w:r>
      <w:r>
        <w:rPr>
          <w:rStyle w:val="Emphasis"/>
          <w:rFonts w:ascii="Times New Roman" w:hAnsi="Times New Roman"/>
          <w:caps w:val="false"/>
          <w:smallCaps w:val="false"/>
          <w:sz w:val="20"/>
        </w:rPr>
        <w:t>09</w:t>
      </w:r>
      <w:r>
        <w:rPr>
          <w:rFonts w:ascii="Times New Roman" w:hAnsi="Times New Roman"/>
          <w:caps w:val="false"/>
          <w:smallCaps w:val="false"/>
          <w:sz w:val="20"/>
        </w:rPr>
        <w:t xml:space="preserve"> "Income Taxes (Topic </w:t>
      </w:r>
      <w:r>
        <w:rPr>
          <w:rStyle w:val="Emphasis"/>
          <w:rFonts w:ascii="Times New Roman" w:hAnsi="Times New Roman"/>
          <w:caps w:val="false"/>
          <w:smallCaps w:val="false"/>
          <w:sz w:val="20"/>
        </w:rPr>
        <w:t>740</w:t>
      </w:r>
      <w:r>
        <w:rPr>
          <w:rFonts w:ascii="Times New Roman" w:hAnsi="Times New Roman"/>
          <w:caps w:val="false"/>
          <w:smallCaps w:val="false"/>
          <w:sz w:val="20"/>
        </w:rPr>
        <w:t xml:space="preserve">): Improvements to Income Tax Disclosures," which is effective for annual periods beginning after </w:t>
      </w:r>
      <w:r>
        <w:rPr>
          <w:rStyle w:val="Emphasis"/>
          <w:rFonts w:ascii="Times New Roman" w:hAnsi="Times New Roman"/>
          <w:caps w:val="false"/>
          <w:smallCaps w:val="false"/>
          <w:sz w:val="20"/>
        </w:rPr>
        <w:t>December 15, 2024.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caps w:val="false"/>
          <w:smallCaps w:val="false"/>
          <w:sz w:val="20"/>
        </w:rPr>
        <w:t xml:space="preserve">The amendments from this update provide transparency about income tax information through improvements primarily related to the rate reconciliation and income taxes paid information. Among other disclosures, public business entities are required to disclose a tabular reconciliation, using both percentages and reporting currency amounts, showing detail from </w:t>
      </w:r>
      <w:r>
        <w:rPr>
          <w:rStyle w:val="Emphasis"/>
          <w:rFonts w:ascii="Times New Roman" w:hAnsi="Times New Roman"/>
          <w:caps w:val="false"/>
          <w:smallCaps w:val="false"/>
          <w:sz w:val="20"/>
        </w:rPr>
        <w:t>eight</w:t>
      </w:r>
      <w:r>
        <w:rPr>
          <w:rFonts w:ascii="Times New Roman" w:hAnsi="Times New Roman"/>
          <w:caps w:val="false"/>
          <w:smallCaps w:val="false"/>
          <w:sz w:val="20"/>
        </w:rPr>
        <w:t xml:space="preserve"> specific categories: (a) state and local income tax net of federal (national) income tax effect, (b) foreign tax effects, (c) effect of changes in tax laws or rates enacted in the current period, (d) effect of cross-border tax laws, (e) tax credits, (f) changes in valuation allowances, (g) nontaxable or nondeductible items, and (h) changes in unrecognized tax benefits. In addition, public business entities are required to separately disclose any reconciling item, disaggregated by nature and/or jurisdiction, in which the effect of the reconciling item is equal to or greater than </w:t>
      </w:r>
      <w:r>
        <w:rPr>
          <w:rStyle w:val="Emphasis"/>
          <w:rFonts w:ascii="Times New Roman" w:hAnsi="Times New Roman"/>
          <w:caps w:val="false"/>
          <w:smallCaps w:val="false"/>
          <w:sz w:val="20"/>
        </w:rPr>
        <w:t>five</w:t>
      </w:r>
      <w:r>
        <w:rPr>
          <w:rFonts w:ascii="Times New Roman" w:hAnsi="Times New Roman"/>
          <w:caps w:val="false"/>
          <w:smallCaps w:val="false"/>
          <w:sz w:val="20"/>
        </w:rPr>
        <w:t xml:space="preserve"> percent of the amount computed by multiplying the income (or loss) from continuing operations before income taxes by the applicable statutory income tax rate. Also, for the state and local category, a public business entity is required to provide a qualitative description of the states and local jurisdictions that make up the majority (greater than </w:t>
      </w:r>
      <w:r>
        <w:rPr>
          <w:rStyle w:val="Emphasis"/>
          <w:rFonts w:ascii="Times New Roman" w:hAnsi="Times New Roman"/>
          <w:caps w:val="false"/>
          <w:smallCaps w:val="false"/>
          <w:sz w:val="20"/>
        </w:rPr>
        <w:t>50</w:t>
      </w:r>
      <w:r>
        <w:rPr>
          <w:rFonts w:ascii="Times New Roman" w:hAnsi="Times New Roman"/>
          <w:caps w:val="false"/>
          <w:smallCaps w:val="false"/>
          <w:sz w:val="20"/>
        </w:rPr>
        <w:t xml:space="preserve"> percent) of the category.  Additional disclosures required a disaggregation of both continuing income before income taxes and taxes paid by jurisdiction.  The Company is currently assessing the impact of adopting this new guidance on its financial disclosures.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b/>
          <w:caps w:val="false"/>
          <w:smallCaps w:val="false"/>
          <w:sz w:val="20"/>
        </w:rPr>
        <w:t>New Accounting Pronouncement </w:t>
      </w:r>
      <w:r>
        <w:rPr>
          <w:rStyle w:val="Emphasis"/>
          <w:rFonts w:ascii="Times New Roman" w:hAnsi="Times New Roman"/>
          <w:b/>
          <w:caps w:val="false"/>
          <w:smallCaps w:val="false"/>
          <w:sz w:val="20"/>
        </w:rPr>
        <w:t>Not</w:t>
      </w:r>
      <w:r>
        <w:rPr>
          <w:rFonts w:ascii="Times New Roman" w:hAnsi="Times New Roman"/>
          <w:b/>
          <w:caps w:val="false"/>
          <w:smallCaps w:val="false"/>
          <w:sz w:val="20"/>
        </w:rPr>
        <w:t xml:space="preserve"> Yet Adopted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caps w:val="false"/>
          <w:smallCaps w:val="false"/>
          <w:sz w:val="20"/>
        </w:rPr>
        <w:t xml:space="preserve">In </w:t>
      </w:r>
      <w:r>
        <w:rPr>
          <w:rStyle w:val="Emphasis"/>
          <w:rFonts w:ascii="Times New Roman" w:hAnsi="Times New Roman"/>
          <w:caps w:val="false"/>
          <w:smallCaps w:val="false"/>
          <w:sz w:val="20"/>
        </w:rPr>
        <w:t xml:space="preserve">November 2024, </w:t>
      </w:r>
      <w:r>
        <w:rPr>
          <w:rFonts w:ascii="Times New Roman" w:hAnsi="Times New Roman"/>
          <w:caps w:val="false"/>
          <w:smallCaps w:val="false"/>
          <w:sz w:val="20"/>
        </w:rPr>
        <w:t>the FASB issued ASU </w:t>
      </w:r>
      <w:r>
        <w:rPr>
          <w:rStyle w:val="Emphasis"/>
          <w:rFonts w:ascii="Times New Roman" w:hAnsi="Times New Roman"/>
          <w:caps w:val="false"/>
          <w:smallCaps w:val="false"/>
          <w:sz w:val="20"/>
        </w:rPr>
        <w:t>2024</w:t>
      </w:r>
      <w:r>
        <w:rPr>
          <w:rFonts w:ascii="Times New Roman" w:hAnsi="Times New Roman"/>
          <w:caps w:val="false"/>
          <w:smallCaps w:val="false"/>
          <w:sz w:val="20"/>
        </w:rPr>
        <w:t>-</w:t>
      </w:r>
      <w:r>
        <w:rPr>
          <w:rStyle w:val="Emphasis"/>
          <w:rFonts w:ascii="Times New Roman" w:hAnsi="Times New Roman"/>
          <w:caps w:val="false"/>
          <w:smallCaps w:val="false"/>
          <w:sz w:val="20"/>
        </w:rPr>
        <w:t>03,</w:t>
      </w:r>
      <w:r>
        <w:rPr>
          <w:rFonts w:ascii="Times New Roman" w:hAnsi="Times New Roman"/>
          <w:caps w:val="false"/>
          <w:smallCaps w:val="false"/>
          <w:sz w:val="20"/>
        </w:rPr>
        <w:t xml:space="preserve"> “Income Statement—Reporting Comprehensive Income—Expense Disaggregation Disclosures (Subtopic </w:t>
      </w:r>
      <w:r>
        <w:rPr>
          <w:rStyle w:val="Emphasis"/>
          <w:rFonts w:ascii="Times New Roman" w:hAnsi="Times New Roman"/>
          <w:caps w:val="false"/>
          <w:smallCaps w:val="false"/>
          <w:sz w:val="20"/>
        </w:rPr>
        <w:t>220</w:t>
      </w:r>
      <w:r>
        <w:rPr>
          <w:rFonts w:ascii="Times New Roman" w:hAnsi="Times New Roman"/>
          <w:caps w:val="false"/>
          <w:smallCaps w:val="false"/>
          <w:sz w:val="20"/>
        </w:rPr>
        <w:t>-</w:t>
      </w:r>
      <w:r>
        <w:rPr>
          <w:rStyle w:val="Emphasis"/>
          <w:rFonts w:ascii="Times New Roman" w:hAnsi="Times New Roman"/>
          <w:caps w:val="false"/>
          <w:smallCaps w:val="false"/>
          <w:sz w:val="20"/>
        </w:rPr>
        <w:t>40</w:t>
      </w:r>
      <w:r>
        <w:rPr>
          <w:rFonts w:ascii="Times New Roman" w:hAnsi="Times New Roman"/>
          <w:caps w:val="false"/>
          <w:smallCaps w:val="false"/>
          <w:sz w:val="20"/>
        </w:rPr>
        <w:t xml:space="preserve">),” which expands disclosures around a public entity’s costs and expenses of specific items (i.e. employee compensation, and DD&amp;A), requires the inclusion of amounts that are required to be disclosed under GAAP in the same disclosure as other disaggregation requirements, requires qualitative descriptions of amounts remaining in expense captions that are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separately disaggregated quantitatively, and requires disclosure of total selling expenses, and in annual periods, the definition of selling expenses. The amendment does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change or remove existing disclosure requirements. The amendment is effective for fiscal years beginning after </w:t>
      </w:r>
      <w:r>
        <w:rPr>
          <w:rStyle w:val="Emphasis"/>
          <w:rFonts w:ascii="Times New Roman" w:hAnsi="Times New Roman"/>
          <w:caps w:val="false"/>
          <w:smallCaps w:val="false"/>
          <w:sz w:val="20"/>
        </w:rPr>
        <w:t xml:space="preserve">December 15, 2026, </w:t>
      </w:r>
      <w:r>
        <w:rPr>
          <w:rFonts w:ascii="Times New Roman" w:hAnsi="Times New Roman"/>
          <w:caps w:val="false"/>
          <w:smallCaps w:val="false"/>
          <w:sz w:val="20"/>
        </w:rPr>
        <w:t xml:space="preserve">and interim periods with fiscal years beginning after </w:t>
      </w:r>
      <w:r>
        <w:rPr>
          <w:rStyle w:val="Emphasis"/>
          <w:rFonts w:ascii="Times New Roman" w:hAnsi="Times New Roman"/>
          <w:caps w:val="false"/>
          <w:smallCaps w:val="false"/>
          <w:sz w:val="20"/>
        </w:rPr>
        <w:t xml:space="preserve">December 15, 2027. </w:t>
      </w:r>
      <w:r>
        <w:rPr>
          <w:rFonts w:ascii="Times New Roman" w:hAnsi="Times New Roman"/>
          <w:caps w:val="false"/>
          <w:smallCaps w:val="false"/>
          <w:sz w:val="20"/>
        </w:rPr>
        <w:t>Early adoption is permitted, and the amendment can be adopted prospectively or retrospectively to any or all periods presented in the financial statements. The Company is currently assessing the impact of adopting this standard.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283"/>
        <w:jc w:val="left"/>
        <w:rPr/>
      </w:pPr>
      <w:r>
        <w:rPr/>
        <w:t xml:space="preserve">  </w:t>
      </w:r>
    </w:p>
    <w:p>
      <w:pPr>
        <w:pStyle w:val="TextBody"/>
        <w:bidi w:val="0"/>
        <w:spacing w:before="0" w:after="0"/>
        <w:ind w:left="0" w:right="0" w:hanging="0"/>
        <w:jc w:val="both"/>
        <w:rPr/>
      </w:pPr>
      <w:r>
        <w:rPr>
          <w:rStyle w:val="Emphasis"/>
          <w:rFonts w:ascii="Times New Roman" w:hAnsi="Times New Roman"/>
          <w:b/>
          <w:caps w:val="false"/>
          <w:smallCaps w:val="false"/>
          <w:sz w:val="20"/>
        </w:rPr>
        <w:t>2.</w:t>
      </w:r>
      <w:r>
        <w:rPr>
          <w:rFonts w:ascii="Times New Roman" w:hAnsi="Times New Roman"/>
          <w:b/>
          <w:caps w:val="false"/>
          <w:smallCaps w:val="false"/>
          <w:sz w:val="20"/>
        </w:rPr>
        <w:t xml:space="preserve"> ACQUISITIONS AND DIVESTITURES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b/>
          <w:caps w:val="false"/>
          <w:smallCaps w:val="false"/>
          <w:sz w:val="20"/>
        </w:rPr>
        <w:t>Acquisition of industrial gas</w:t>
      </w:r>
      <w:r>
        <w:rPr>
          <w:rFonts w:ascii="Times New Roman" w:hAnsi="Times New Roman"/>
          <w:caps w:val="false"/>
          <w:smallCaps w:val="false"/>
          <w:sz w:val="20"/>
        </w:rPr>
        <w:t xml:space="preserve"> </w:t>
      </w:r>
      <w:r>
        <w:rPr>
          <w:rFonts w:ascii="Times New Roman" w:hAnsi="Times New Roman"/>
          <w:b/>
          <w:caps w:val="false"/>
          <w:smallCaps w:val="false"/>
          <w:sz w:val="20"/>
        </w:rPr>
        <w:t>acreage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caps w:val="false"/>
          <w:smallCaps w:val="false"/>
          <w:sz w:val="20"/>
        </w:rPr>
        <w:t xml:space="preserve">On </w:t>
      </w:r>
      <w:r>
        <w:rPr>
          <w:rStyle w:val="Emphasis"/>
          <w:rFonts w:ascii="Times New Roman" w:hAnsi="Times New Roman"/>
          <w:caps w:val="false"/>
          <w:smallCaps w:val="false"/>
          <w:sz w:val="20"/>
        </w:rPr>
        <w:t xml:space="preserve">January 7, 2025, </w:t>
      </w:r>
      <w:r>
        <w:rPr>
          <w:rFonts w:ascii="Times New Roman" w:hAnsi="Times New Roman"/>
          <w:caps w:val="false"/>
          <w:smallCaps w:val="false"/>
          <w:sz w:val="20"/>
        </w:rPr>
        <w:t>the Company entered into, and simultaneously closed the related party transactions contemplated by, a Purchase and Sale Agreement (the “Synergy Purchase Agreement”), with Synergy Offshore LLC (“Synergy”). Synergy is controlled by Mr. Duane H. King, a member of the Board of Directors of the Company, who serves as the Chief Executive Officer and Manager of Synergy, and John A. Weinzierl, the Company’s Chairman, who was an approximate sixty percent beneficial owner of Synergy at the time of the entry into the purchase and sale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caps w:val="false"/>
          <w:smallCaps w:val="false"/>
          <w:sz w:val="20"/>
        </w:rPr>
        <w:t xml:space="preserve">Pursuant to the Synergy Purchase Agreement, the Company purchased from Synergy, 24,000 net operated acres located across the Kevin Dome structure in Toole County, Montana, which are highly contiguous to the 144,000 net acres located across the Kevin Dome structure in Toole County, Montana acquired by the Company in </w:t>
      </w:r>
      <w:r>
        <w:rPr>
          <w:rStyle w:val="Emphasis"/>
          <w:rFonts w:ascii="Times New Roman" w:hAnsi="Times New Roman"/>
          <w:caps w:val="false"/>
          <w:smallCaps w:val="false"/>
          <w:sz w:val="20"/>
        </w:rPr>
        <w:t xml:space="preserve">June 2024 </w:t>
      </w:r>
      <w:r>
        <w:rPr>
          <w:rFonts w:ascii="Times New Roman" w:hAnsi="Times New Roman"/>
          <w:caps w:val="false"/>
          <w:smallCaps w:val="false"/>
          <w:sz w:val="20"/>
        </w:rPr>
        <w:t>from Wavetech Helium, Inc. ("Wavetech"), including all leases, wells, rights and interests in, under or derived from all communalization, unitization, or pooling agreements or pooling orders, easements, mineral interests, contracts, production, equipment, claims, receivables, indemnities, permits, seismic studies and records, associated therewith (collectively, the “Property”), subject to Synergy retaining an undivided twenty percent (</w:t>
      </w:r>
      <w:r>
        <w:rPr>
          <w:rStyle w:val="Emphasis"/>
          <w:rFonts w:ascii="Times New Roman" w:hAnsi="Times New Roman"/>
          <w:caps w:val="false"/>
          <w:smallCaps w:val="false"/>
          <w:sz w:val="20"/>
        </w:rPr>
        <w:t>20.00%</w:t>
      </w:r>
      <w:r>
        <w:rPr>
          <w:rFonts w:ascii="Times New Roman" w:hAnsi="Times New Roman"/>
          <w:caps w:val="false"/>
          <w:smallCaps w:val="false"/>
          <w:sz w:val="20"/>
        </w:rPr>
        <w:t>) of Synergy’s right, title, and interest in the Property, and certain excluded assets (the “Synergy Reserved Interest”).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caps w:val="false"/>
          <w:smallCaps w:val="false"/>
          <w:sz w:val="20"/>
        </w:rPr>
        <w:t xml:space="preserve">The Property was acquired in consideration for (a) $2.0 million in cash, subject to customary adjustments; (b) 1,400,000 shares of the Company’s common stock (representing 4.76% of the Company’s outstanding common stock at the time of the entry into the Purchase Agreement) (the “Closing Shares”); (c) a carried working interest whereby the Company agreed to cover and pay for 100% of Synergy’s costs attributable to the Synergy Reserved Interest, until the earlier of (i) 78 months from the closing date; or (ii) the date the total costs associated therewith total $20 million; (d) the Company's agreement to pay Synergy </w:t>
      </w:r>
      <w:r>
        <w:rPr>
          <w:rStyle w:val="Emphasis"/>
          <w:rFonts w:ascii="Times New Roman" w:hAnsi="Times New Roman"/>
          <w:caps w:val="false"/>
          <w:smallCaps w:val="false"/>
          <w:sz w:val="20"/>
        </w:rPr>
        <w:t>18%</w:t>
      </w:r>
      <w:r>
        <w:rPr>
          <w:rFonts w:ascii="Times New Roman" w:hAnsi="Times New Roman"/>
          <w:caps w:val="false"/>
          <w:smallCaps w:val="false"/>
          <w:sz w:val="20"/>
        </w:rPr>
        <w:t xml:space="preserve"> of the cash amounts it actually realizes from our sequestration of carbon oxides or similar substances derived directly from the area of mutual interest (“AMI”) surrounding the Property; and (e) the Company's agreement to pay Synergy 18% of the gain we </w:t>
      </w:r>
      <w:r>
        <w:rPr>
          <w:rStyle w:val="Emphasis"/>
          <w:rFonts w:ascii="Times New Roman" w:hAnsi="Times New Roman"/>
          <w:caps w:val="false"/>
          <w:smallCaps w:val="false"/>
          <w:sz w:val="20"/>
        </w:rPr>
        <w:t xml:space="preserve">may </w:t>
      </w:r>
      <w:r>
        <w:rPr>
          <w:rFonts w:ascii="Times New Roman" w:hAnsi="Times New Roman"/>
          <w:caps w:val="false"/>
          <w:smallCaps w:val="false"/>
          <w:sz w:val="20"/>
        </w:rPr>
        <w:t>receive in connection with the sale of the future, first, gas processing plant located on the Property (which includes any expansions connected to the initial installation that processes production from within the AMI in which the Company has a financial interest), in the same form as the consideration we receive upon such sale. Total consideration was $4.7 million. The transaction was accounted for as an asset acquisition and recorded as an unevaluated industrial gas asset upon closing.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Divestitures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caps w:val="false"/>
          <w:smallCaps w:val="false"/>
          <w:sz w:val="20"/>
        </w:rPr>
        <w:t xml:space="preserve">In </w:t>
      </w:r>
      <w:r>
        <w:rPr>
          <w:rStyle w:val="Emphasis"/>
          <w:rFonts w:ascii="Times New Roman" w:hAnsi="Times New Roman"/>
          <w:caps w:val="false"/>
          <w:smallCaps w:val="false"/>
          <w:sz w:val="20"/>
        </w:rPr>
        <w:t>2025,</w:t>
      </w:r>
      <w:r>
        <w:rPr>
          <w:rFonts w:ascii="Times New Roman" w:hAnsi="Times New Roman"/>
          <w:caps w:val="false"/>
          <w:smallCaps w:val="false"/>
          <w:sz w:val="20"/>
        </w:rPr>
        <w:t xml:space="preserve"> we entered into a negotiated post-closing cash settlement and recognized an additional loss of $424 thousand on our $6.825 million divestment in Henderson, Anderson, Liberty and Chambers County, Texas that closed on </w:t>
      </w:r>
      <w:r>
        <w:rPr>
          <w:rStyle w:val="Emphasis"/>
          <w:rFonts w:ascii="Times New Roman" w:hAnsi="Times New Roman"/>
          <w:caps w:val="false"/>
          <w:smallCaps w:val="false"/>
          <w:sz w:val="20"/>
        </w:rPr>
        <w:t xml:space="preserve">December 31, 2024. </w:t>
      </w:r>
      <w:r>
        <w:rPr>
          <w:rFonts w:ascii="Times New Roman" w:hAnsi="Times New Roman"/>
          <w:caps w:val="false"/>
          <w:smallCaps w:val="false"/>
          <w:sz w:val="20"/>
        </w:rPr>
        <w:t xml:space="preserve">In </w:t>
      </w:r>
      <w:r>
        <w:rPr>
          <w:rStyle w:val="Emphasis"/>
          <w:rFonts w:ascii="Times New Roman" w:hAnsi="Times New Roman"/>
          <w:caps w:val="false"/>
          <w:smallCaps w:val="false"/>
          <w:sz w:val="20"/>
        </w:rPr>
        <w:t>2025,</w:t>
      </w:r>
      <w:r>
        <w:rPr>
          <w:rFonts w:ascii="Times New Roman" w:hAnsi="Times New Roman"/>
          <w:caps w:val="false"/>
          <w:smallCaps w:val="false"/>
          <w:sz w:val="20"/>
        </w:rPr>
        <w:t xml:space="preserve"> the Company also closed on the sale of a portion of our operated Wyoming properties for approximately $500 thousand. Proceeds from the Wyoming divestiture were recorded as an adjustment to the full cost pool. The removal of the related asset retirement obligation was recorded as an adjustment to accumulated depreciation, depletion and amortization with no gain or loss recognized in the Condensed Consolidated Statements of Operations.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pPr>
      <w:r>
        <w:rPr>
          <w:rStyle w:val="Emphasis"/>
          <w:rFonts w:ascii="Times New Roman" w:hAnsi="Times New Roman"/>
          <w:sz w:val="20"/>
        </w:rPr>
        <w:t>9</w:t>
      </w:r>
      <w:r>
        <w:rPr>
          <w:rFonts w:ascii="Times New Roman" w:hAnsi="Times New Roman"/>
          <w:sz w:val="20"/>
        </w:rPr>
        <w:t xml:space="preserve">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0"/>
        <w:jc w:val="left"/>
        <w:rPr/>
      </w:pPr>
      <w:r>
        <w:rPr/>
        <w:t xml:space="preserve">  </w:t>
      </w:r>
    </w:p>
    <w:p>
      <w:pPr>
        <w:pStyle w:val="TextBody"/>
        <w:bidi w:val="0"/>
        <w:spacing w:before="0" w:after="283"/>
        <w:jc w:val="left"/>
        <w:rPr/>
      </w:pPr>
      <w:r>
        <w:rPr/>
        <w:t xml:space="preserve">  </w:t>
      </w:r>
    </w:p>
    <w:p>
      <w:pPr>
        <w:pStyle w:val="TextBody"/>
        <w:bidi w:val="0"/>
        <w:spacing w:before="0" w:after="0"/>
        <w:ind w:left="0" w:right="0" w:hanging="0"/>
        <w:jc w:val="both"/>
        <w:rPr/>
      </w:pPr>
      <w:r>
        <w:rPr>
          <w:rStyle w:val="Emphasis"/>
          <w:rFonts w:ascii="Times New Roman" w:hAnsi="Times New Roman"/>
          <w:b/>
          <w:caps w:val="false"/>
          <w:smallCaps w:val="false"/>
          <w:sz w:val="20"/>
        </w:rPr>
        <w:t>3.</w:t>
      </w:r>
      <w:r>
        <w:rPr>
          <w:rFonts w:ascii="Times New Roman" w:hAnsi="Times New Roman"/>
          <w:b/>
          <w:caps w:val="false"/>
          <w:smallCaps w:val="false"/>
          <w:sz w:val="20"/>
        </w:rPr>
        <w:t xml:space="preserve"> REVENUE RECOGNITION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caps w:val="false"/>
          <w:smallCaps w:val="false"/>
          <w:sz w:val="20"/>
        </w:rPr>
        <w:t xml:space="preserve">The Company disaggregates revenues from its share of revenue from the sale of oil and natural gas and liquids by region. The Company’s revenues in the Rockies region, West Texas, South Texas, and Gulf Coast region, and Mid-Continent region for the </w:t>
      </w:r>
      <w:r>
        <w:rPr>
          <w:rStyle w:val="Emphasis"/>
          <w:rFonts w:ascii="Times New Roman" w:hAnsi="Times New Roman"/>
          <w:caps w:val="false"/>
          <w:smallCaps w:val="false"/>
          <w:sz w:val="20"/>
        </w:rPr>
        <w:t>three</w:t>
      </w:r>
      <w:r>
        <w:rPr>
          <w:rFonts w:ascii="Times New Roman" w:hAnsi="Times New Roman"/>
          <w:caps w:val="false"/>
          <w:smallCaps w:val="false"/>
          <w:sz w:val="20"/>
        </w:rPr>
        <w:t xml:space="preserve"> and </w:t>
      </w:r>
      <w:r>
        <w:rPr>
          <w:rStyle w:val="Emphasis"/>
          <w:rFonts w:ascii="Times New Roman" w:hAnsi="Times New Roman"/>
          <w:caps w:val="false"/>
          <w:smallCaps w:val="false"/>
          <w:sz w:val="20"/>
        </w:rPr>
        <w:t>nine</w:t>
      </w:r>
      <w:r>
        <w:rPr>
          <w:rFonts w:ascii="Times New Roman" w:hAnsi="Times New Roman"/>
          <w:caps w:val="false"/>
          <w:smallCaps w:val="false"/>
          <w:sz w:val="20"/>
        </w:rPr>
        <w:t xml:space="preserve"> months ended </w:t>
      </w:r>
      <w:r>
        <w:rPr>
          <w:rStyle w:val="Emphasis"/>
          <w:rFonts w:ascii="Times New Roman" w:hAnsi="Times New Roman"/>
          <w:caps w:val="false"/>
          <w:smallCaps w:val="false"/>
          <w:sz w:val="20"/>
        </w:rPr>
        <w:t xml:space="preserve">September 30, 2025 </w:t>
      </w:r>
      <w:r>
        <w:rPr>
          <w:rFonts w:ascii="Times New Roman" w:hAnsi="Times New Roman"/>
          <w:caps w:val="false"/>
          <w:smallCaps w:val="false"/>
          <w:sz w:val="20"/>
        </w:rPr>
        <w:t xml:space="preserve">and </w:t>
      </w:r>
      <w:r>
        <w:rPr>
          <w:rStyle w:val="Emphasis"/>
          <w:rFonts w:ascii="Times New Roman" w:hAnsi="Times New Roman"/>
          <w:caps w:val="false"/>
          <w:smallCaps w:val="false"/>
          <w:sz w:val="20"/>
        </w:rPr>
        <w:t>2024</w:t>
      </w:r>
      <w:r>
        <w:rPr>
          <w:rFonts w:ascii="Times New Roman" w:hAnsi="Times New Roman"/>
          <w:caps w:val="false"/>
          <w:smallCaps w:val="false"/>
          <w:sz w:val="20"/>
        </w:rPr>
        <w:t>, are presented in the following table:</w:t>
      </w:r>
    </w:p>
    <w:p>
      <w:pPr>
        <w:pStyle w:val="TextBody"/>
        <w:bidi w:val="0"/>
        <w:spacing w:before="0" w:after="0"/>
        <w:ind w:left="0" w:right="0" w:hanging="0"/>
        <w:jc w:val="both"/>
        <w:rPr>
          <w:caps w:val="false"/>
          <w:smallCaps w:val="false"/>
        </w:rPr>
      </w:pPr>
      <w:r>
        <w:rPr>
          <w:caps w:val="false"/>
          <w:smallCaps w:val="false"/>
        </w:rPr>
        <w:t> </w:t>
      </w:r>
    </w:p>
    <w:tbl>
      <w:tblPr>
        <w:tblW w:w="9428" w:type="dxa"/>
        <w:jc w:val="left"/>
        <w:tblInd w:w="0" w:type="dxa"/>
        <w:tblLayout w:type="fixed"/>
        <w:tblCellMar>
          <w:top w:w="0" w:type="dxa"/>
          <w:left w:w="0" w:type="dxa"/>
          <w:bottom w:w="0" w:type="dxa"/>
          <w:right w:w="0" w:type="dxa"/>
        </w:tblCellMar>
      </w:tblPr>
      <w:tblGrid>
        <w:gridCol w:w="3335"/>
        <w:gridCol w:w="60"/>
        <w:gridCol w:w="273"/>
        <w:gridCol w:w="1060"/>
        <w:gridCol w:w="175"/>
        <w:gridCol w:w="131"/>
        <w:gridCol w:w="273"/>
        <w:gridCol w:w="1060"/>
        <w:gridCol w:w="60"/>
        <w:gridCol w:w="60"/>
        <w:gridCol w:w="249"/>
        <w:gridCol w:w="968"/>
        <w:gridCol w:w="119"/>
        <w:gridCol w:w="119"/>
        <w:gridCol w:w="249"/>
        <w:gridCol w:w="1177"/>
        <w:gridCol w:w="60"/>
      </w:tblGrid>
      <w:tr>
        <w:trPr/>
        <w:tc>
          <w:tcPr>
            <w:tcW w:w="333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972"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Three Months Ended September 30,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881"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Nine Months Ended September 30,</w:t>
            </w:r>
          </w:p>
        </w:tc>
        <w:tc>
          <w:tcPr>
            <w:tcW w:w="60" w:type="dxa"/>
            <w:tcBorders/>
            <w:shd w:fill="FFFFFF" w:val="clear"/>
            <w:vAlign w:val="center"/>
          </w:tcPr>
          <w:p>
            <w:pPr>
              <w:pStyle w:val="TableContents"/>
              <w:bidi w:val="0"/>
              <w:spacing w:before="0" w:after="283"/>
              <w:jc w:val="left"/>
              <w:rPr/>
            </w:pPr>
            <w:r>
              <w:rPr/>
              <w:t> </w:t>
            </w:r>
          </w:p>
        </w:tc>
      </w:tr>
      <w:tr>
        <w:trPr/>
        <w:tc>
          <w:tcPr>
            <w:tcW w:w="333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333"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2025</w:t>
            </w:r>
          </w:p>
        </w:tc>
        <w:tc>
          <w:tcPr>
            <w:tcW w:w="175" w:type="dxa"/>
            <w:tcBorders/>
            <w:shd w:fill="FFFFFF" w:val="clear"/>
            <w:vAlign w:val="center"/>
          </w:tcPr>
          <w:p>
            <w:pPr>
              <w:pStyle w:val="TableContents"/>
              <w:bidi w:val="0"/>
              <w:spacing w:before="0" w:after="283"/>
              <w:jc w:val="left"/>
              <w:rPr/>
            </w:pPr>
            <w:r>
              <w:rPr/>
              <w:t> </w:t>
            </w:r>
          </w:p>
        </w:tc>
        <w:tc>
          <w:tcPr>
            <w:tcW w:w="131" w:type="dxa"/>
            <w:tcBorders/>
            <w:shd w:fill="FFFFFF" w:val="clear"/>
            <w:vAlign w:val="center"/>
          </w:tcPr>
          <w:p>
            <w:pPr>
              <w:pStyle w:val="TableContents"/>
              <w:bidi w:val="0"/>
              <w:spacing w:before="0" w:after="283"/>
              <w:ind w:left="0" w:right="0" w:hanging="0"/>
              <w:jc w:val="left"/>
              <w:rPr/>
            </w:pPr>
            <w:r>
              <w:rPr/>
              <w:t> </w:t>
            </w:r>
          </w:p>
        </w:tc>
        <w:tc>
          <w:tcPr>
            <w:tcW w:w="1333"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2024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17"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2025</w:t>
            </w:r>
          </w:p>
        </w:tc>
        <w:tc>
          <w:tcPr>
            <w:tcW w:w="119" w:type="dxa"/>
            <w:tcBorders/>
            <w:shd w:fill="FFFFFF" w:val="clear"/>
            <w:vAlign w:val="center"/>
          </w:tcPr>
          <w:p>
            <w:pPr>
              <w:pStyle w:val="TableContents"/>
              <w:bidi w:val="0"/>
              <w:spacing w:before="0" w:after="283"/>
              <w:jc w:val="left"/>
              <w:rPr/>
            </w:pPr>
            <w:r>
              <w:rPr/>
              <w:t> </w:t>
            </w:r>
          </w:p>
        </w:tc>
        <w:tc>
          <w:tcPr>
            <w:tcW w:w="119" w:type="dxa"/>
            <w:tcBorders/>
            <w:shd w:fill="FFFFFF" w:val="clear"/>
            <w:vAlign w:val="center"/>
          </w:tcPr>
          <w:p>
            <w:pPr>
              <w:pStyle w:val="TableContents"/>
              <w:bidi w:val="0"/>
              <w:spacing w:before="0" w:after="283"/>
              <w:ind w:left="0" w:right="0" w:hanging="0"/>
              <w:jc w:val="left"/>
              <w:rPr/>
            </w:pPr>
            <w:r>
              <w:rPr/>
              <w:t> </w:t>
            </w:r>
          </w:p>
        </w:tc>
        <w:tc>
          <w:tcPr>
            <w:tcW w:w="1426"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2024</w:t>
            </w:r>
          </w:p>
        </w:tc>
        <w:tc>
          <w:tcPr>
            <w:tcW w:w="60" w:type="dxa"/>
            <w:tcBorders/>
            <w:shd w:fill="FFFFFF" w:val="clear"/>
            <w:vAlign w:val="center"/>
          </w:tcPr>
          <w:p>
            <w:pPr>
              <w:pStyle w:val="TableContents"/>
              <w:bidi w:val="0"/>
              <w:spacing w:before="0" w:after="283"/>
              <w:jc w:val="left"/>
              <w:rPr/>
            </w:pPr>
            <w:r>
              <w:rPr/>
              <w:t> </w:t>
            </w:r>
          </w:p>
        </w:tc>
      </w:tr>
      <w:tr>
        <w:trPr/>
        <w:tc>
          <w:tcPr>
            <w:tcW w:w="333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5973" w:type="dxa"/>
            <w:gridSpan w:val="14"/>
            <w:tcBorders/>
            <w:shd w:fill="FFFFFF" w:val="cle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(in thousands)</w:t>
            </w:r>
          </w:p>
        </w:tc>
        <w:tc>
          <w:tcPr>
            <w:tcW w:w="60" w:type="dxa"/>
            <w:tcBorders/>
            <w:shd w:fill="FFFFFF" w:val="clear"/>
            <w:vAlign w:val="center"/>
          </w:tcPr>
          <w:p>
            <w:pPr>
              <w:pStyle w:val="TableContents"/>
              <w:bidi w:val="0"/>
              <w:spacing w:before="0" w:after="283"/>
              <w:jc w:val="left"/>
              <w:rPr/>
            </w:pPr>
            <w:r>
              <w:rPr/>
              <w:t> </w:t>
            </w:r>
          </w:p>
        </w:tc>
      </w:tr>
      <w:tr>
        <w:trPr/>
        <w:tc>
          <w:tcPr>
            <w:tcW w:w="3335" w:type="dxa"/>
            <w:tcBorders/>
            <w:shd w:fill="CCEE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Revenue:</w:t>
            </w:r>
          </w:p>
        </w:tc>
        <w:tc>
          <w:tcPr>
            <w:tcW w:w="60" w:type="dxa"/>
            <w:tcBorders/>
            <w:shd w:fill="CCEEFF" w:val="clear"/>
            <w:vAlign w:val="center"/>
          </w:tcPr>
          <w:p>
            <w:pPr>
              <w:pStyle w:val="TableContents"/>
              <w:bidi w:val="0"/>
              <w:spacing w:before="0" w:after="283"/>
              <w:jc w:val="left"/>
              <w:rPr/>
            </w:pPr>
            <w:r>
              <w:rPr/>
              <w:t> </w:t>
            </w:r>
          </w:p>
        </w:tc>
        <w:tc>
          <w:tcPr>
            <w:tcW w:w="273" w:type="dxa"/>
            <w:tcBorders/>
            <w:shd w:fill="CCEEFF" w:val="clear"/>
            <w:vAlign w:val="center"/>
          </w:tcPr>
          <w:p>
            <w:pPr>
              <w:pStyle w:val="TableContents"/>
              <w:bidi w:val="0"/>
              <w:spacing w:before="0" w:after="283"/>
              <w:jc w:val="left"/>
              <w:rPr/>
            </w:pPr>
            <w:r>
              <w:rPr/>
              <w:t> </w:t>
            </w:r>
          </w:p>
        </w:tc>
        <w:tc>
          <w:tcPr>
            <w:tcW w:w="1060" w:type="dxa"/>
            <w:tcBorders/>
            <w:shd w:fill="CCEEFF" w:val="clear"/>
            <w:vAlign w:val="center"/>
          </w:tcPr>
          <w:p>
            <w:pPr>
              <w:pStyle w:val="TableContents"/>
              <w:bidi w:val="0"/>
              <w:spacing w:before="0" w:after="283"/>
              <w:jc w:val="left"/>
              <w:rPr/>
            </w:pPr>
            <w:r>
              <w:rPr/>
              <w:t> </w:t>
            </w:r>
          </w:p>
        </w:tc>
        <w:tc>
          <w:tcPr>
            <w:tcW w:w="175" w:type="dxa"/>
            <w:tcBorders/>
            <w:shd w:fill="CCEEFF" w:val="clear"/>
            <w:vAlign w:val="center"/>
          </w:tcPr>
          <w:p>
            <w:pPr>
              <w:pStyle w:val="TableContents"/>
              <w:bidi w:val="0"/>
              <w:spacing w:before="0" w:after="283"/>
              <w:jc w:val="left"/>
              <w:rPr/>
            </w:pPr>
            <w:r>
              <w:rPr/>
              <w:t> </w:t>
            </w:r>
          </w:p>
        </w:tc>
        <w:tc>
          <w:tcPr>
            <w:tcW w:w="131" w:type="dxa"/>
            <w:tcBorders/>
            <w:shd w:fill="CCEEFF" w:val="clear"/>
            <w:vAlign w:val="center"/>
          </w:tcPr>
          <w:p>
            <w:pPr>
              <w:pStyle w:val="TableContents"/>
              <w:bidi w:val="0"/>
              <w:spacing w:before="0" w:after="283"/>
              <w:jc w:val="left"/>
              <w:rPr/>
            </w:pPr>
            <w:r>
              <w:rPr/>
              <w:t> </w:t>
            </w:r>
          </w:p>
        </w:tc>
        <w:tc>
          <w:tcPr>
            <w:tcW w:w="273" w:type="dxa"/>
            <w:tcBorders/>
            <w:shd w:fill="CCEEFF" w:val="clear"/>
            <w:vAlign w:val="center"/>
          </w:tcPr>
          <w:p>
            <w:pPr>
              <w:pStyle w:val="TableContents"/>
              <w:bidi w:val="0"/>
              <w:spacing w:before="0" w:after="283"/>
              <w:jc w:val="left"/>
              <w:rPr/>
            </w:pPr>
            <w:r>
              <w:rPr/>
              <w:t> </w:t>
            </w:r>
          </w:p>
        </w:tc>
        <w:tc>
          <w:tcPr>
            <w:tcW w:w="10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49" w:type="dxa"/>
            <w:tcBorders/>
            <w:shd w:fill="CCEEFF" w:val="clear"/>
            <w:vAlign w:val="center"/>
          </w:tcPr>
          <w:p>
            <w:pPr>
              <w:pStyle w:val="TableContents"/>
              <w:bidi w:val="0"/>
              <w:spacing w:before="0" w:after="283"/>
              <w:jc w:val="left"/>
              <w:rPr/>
            </w:pPr>
            <w:r>
              <w:rPr/>
              <w:t> </w:t>
            </w:r>
          </w:p>
        </w:tc>
        <w:tc>
          <w:tcPr>
            <w:tcW w:w="968" w:type="dxa"/>
            <w:tcBorders/>
            <w:shd w:fill="CCEEFF" w:val="clear"/>
            <w:vAlign w:val="center"/>
          </w:tcPr>
          <w:p>
            <w:pPr>
              <w:pStyle w:val="TableContents"/>
              <w:bidi w:val="0"/>
              <w:spacing w:before="0" w:after="283"/>
              <w:jc w:val="left"/>
              <w:rPr/>
            </w:pPr>
            <w:r>
              <w:rPr/>
              <w:t> </w:t>
            </w:r>
          </w:p>
        </w:tc>
        <w:tc>
          <w:tcPr>
            <w:tcW w:w="119" w:type="dxa"/>
            <w:tcBorders/>
            <w:shd w:fill="CCEEFF" w:val="clear"/>
            <w:vAlign w:val="center"/>
          </w:tcPr>
          <w:p>
            <w:pPr>
              <w:pStyle w:val="TableContents"/>
              <w:bidi w:val="0"/>
              <w:spacing w:before="0" w:after="283"/>
              <w:jc w:val="left"/>
              <w:rPr/>
            </w:pPr>
            <w:r>
              <w:rPr/>
              <w:t> </w:t>
            </w:r>
          </w:p>
        </w:tc>
        <w:tc>
          <w:tcPr>
            <w:tcW w:w="119" w:type="dxa"/>
            <w:tcBorders/>
            <w:shd w:fill="CCEEFF" w:val="clear"/>
            <w:vAlign w:val="center"/>
          </w:tcPr>
          <w:p>
            <w:pPr>
              <w:pStyle w:val="TableContents"/>
              <w:bidi w:val="0"/>
              <w:spacing w:before="0" w:after="283"/>
              <w:jc w:val="left"/>
              <w:rPr/>
            </w:pPr>
            <w:r>
              <w:rPr/>
              <w:t> </w:t>
            </w:r>
          </w:p>
        </w:tc>
        <w:tc>
          <w:tcPr>
            <w:tcW w:w="249" w:type="dxa"/>
            <w:tcBorders/>
            <w:shd w:fill="CCEEFF" w:val="clear"/>
            <w:vAlign w:val="center"/>
          </w:tcPr>
          <w:p>
            <w:pPr>
              <w:pStyle w:val="TableContents"/>
              <w:bidi w:val="0"/>
              <w:spacing w:before="0" w:after="283"/>
              <w:jc w:val="left"/>
              <w:rPr/>
            </w:pPr>
            <w:r>
              <w:rPr/>
              <w:t> </w:t>
            </w:r>
          </w:p>
        </w:tc>
        <w:tc>
          <w:tcPr>
            <w:tcW w:w="1177"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r>
      <w:tr>
        <w:trPr/>
        <w:tc>
          <w:tcPr>
            <w:tcW w:w="3335" w:type="dxa"/>
            <w:tcBorders/>
            <w:shd w:fill="FFFFFF" w:val="clear"/>
            <w:vAlign w:val="center"/>
          </w:tcPr>
          <w:p>
            <w:pPr>
              <w:pStyle w:val="TableContents"/>
              <w:bidi w:val="0"/>
              <w:spacing w:before="0" w:after="0"/>
              <w:ind w:left="180" w:right="0" w:hanging="0"/>
              <w:jc w:val="left"/>
              <w:rPr>
                <w:rFonts w:ascii="Times New Roman;Times;serif" w:hAnsi="Times New Roman;Times;serif"/>
                <w:i/>
                <w:caps w:val="false"/>
                <w:smallCaps w:val="false"/>
                <w:sz w:val="20"/>
              </w:rPr>
            </w:pPr>
            <w:r>
              <w:rPr>
                <w:rFonts w:ascii="Times New Roman;Times;serif" w:hAnsi="Times New Roman;Times;serif"/>
                <w:i/>
                <w:caps w:val="false"/>
                <w:smallCaps w:val="false"/>
                <w:sz w:val="20"/>
              </w:rPr>
              <w:t>Rockies</w:t>
            </w:r>
          </w:p>
        </w:tc>
        <w:tc>
          <w:tcPr>
            <w:tcW w:w="60" w:type="dxa"/>
            <w:tcBorders/>
            <w:shd w:fill="FFFFFF" w:val="clear"/>
            <w:vAlign w:val="center"/>
          </w:tcPr>
          <w:p>
            <w:pPr>
              <w:pStyle w:val="TableContents"/>
              <w:bidi w:val="0"/>
              <w:spacing w:before="0" w:after="283"/>
              <w:jc w:val="left"/>
              <w:rPr/>
            </w:pPr>
            <w:r>
              <w:rPr/>
              <w:t> </w:t>
            </w:r>
          </w:p>
        </w:tc>
        <w:tc>
          <w:tcPr>
            <w:tcW w:w="273" w:type="dxa"/>
            <w:tcBorders/>
            <w:shd w:fill="FFFFFF" w:val="clear"/>
            <w:vAlign w:val="center"/>
          </w:tcPr>
          <w:p>
            <w:pPr>
              <w:pStyle w:val="TableContents"/>
              <w:bidi w:val="0"/>
              <w:spacing w:before="0" w:after="283"/>
              <w:jc w:val="left"/>
              <w:rPr/>
            </w:pPr>
            <w:r>
              <w:rPr/>
              <w:t> </w:t>
            </w:r>
          </w:p>
        </w:tc>
        <w:tc>
          <w:tcPr>
            <w:tcW w:w="1060" w:type="dxa"/>
            <w:tcBorders/>
            <w:shd w:fill="FFFFFF" w:val="clear"/>
            <w:vAlign w:val="center"/>
          </w:tcPr>
          <w:p>
            <w:pPr>
              <w:pStyle w:val="TableContents"/>
              <w:bidi w:val="0"/>
              <w:spacing w:before="0" w:after="283"/>
              <w:jc w:val="left"/>
              <w:rPr/>
            </w:pPr>
            <w:r>
              <w:rPr/>
              <w:t> </w:t>
            </w:r>
          </w:p>
        </w:tc>
        <w:tc>
          <w:tcPr>
            <w:tcW w:w="175" w:type="dxa"/>
            <w:tcBorders/>
            <w:shd w:fill="FFFFFF" w:val="clear"/>
            <w:vAlign w:val="center"/>
          </w:tcPr>
          <w:p>
            <w:pPr>
              <w:pStyle w:val="TableContents"/>
              <w:bidi w:val="0"/>
              <w:spacing w:before="0" w:after="283"/>
              <w:jc w:val="left"/>
              <w:rPr/>
            </w:pPr>
            <w:r>
              <w:rPr/>
              <w:t> </w:t>
            </w:r>
          </w:p>
        </w:tc>
        <w:tc>
          <w:tcPr>
            <w:tcW w:w="131" w:type="dxa"/>
            <w:tcBorders/>
            <w:shd w:fill="FFFFFF" w:val="clear"/>
            <w:vAlign w:val="center"/>
          </w:tcPr>
          <w:p>
            <w:pPr>
              <w:pStyle w:val="TableContents"/>
              <w:bidi w:val="0"/>
              <w:spacing w:before="0" w:after="283"/>
              <w:jc w:val="left"/>
              <w:rPr/>
            </w:pPr>
            <w:r>
              <w:rPr/>
              <w:t> </w:t>
            </w:r>
          </w:p>
        </w:tc>
        <w:tc>
          <w:tcPr>
            <w:tcW w:w="273" w:type="dxa"/>
            <w:tcBorders/>
            <w:shd w:fill="FFFFFF" w:val="clear"/>
            <w:vAlign w:val="center"/>
          </w:tcPr>
          <w:p>
            <w:pPr>
              <w:pStyle w:val="TableContents"/>
              <w:bidi w:val="0"/>
              <w:spacing w:before="0" w:after="283"/>
              <w:jc w:val="left"/>
              <w:rPr/>
            </w:pPr>
            <w:r>
              <w:rPr/>
              <w:t> </w:t>
            </w:r>
          </w:p>
        </w:tc>
        <w:tc>
          <w:tcPr>
            <w:tcW w:w="10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49" w:type="dxa"/>
            <w:tcBorders/>
            <w:shd w:fill="FFFFFF" w:val="clear"/>
            <w:vAlign w:val="center"/>
          </w:tcPr>
          <w:p>
            <w:pPr>
              <w:pStyle w:val="TableContents"/>
              <w:bidi w:val="0"/>
              <w:spacing w:before="0" w:after="283"/>
              <w:jc w:val="left"/>
              <w:rPr/>
            </w:pPr>
            <w:r>
              <w:rPr/>
              <w:t> </w:t>
            </w:r>
          </w:p>
        </w:tc>
        <w:tc>
          <w:tcPr>
            <w:tcW w:w="968" w:type="dxa"/>
            <w:tcBorders/>
            <w:shd w:fill="FFFFFF" w:val="clear"/>
            <w:vAlign w:val="center"/>
          </w:tcPr>
          <w:p>
            <w:pPr>
              <w:pStyle w:val="TableContents"/>
              <w:bidi w:val="0"/>
              <w:spacing w:before="0" w:after="283"/>
              <w:jc w:val="left"/>
              <w:rPr/>
            </w:pPr>
            <w:r>
              <w:rPr/>
              <w:t> </w:t>
            </w:r>
          </w:p>
        </w:tc>
        <w:tc>
          <w:tcPr>
            <w:tcW w:w="119" w:type="dxa"/>
            <w:tcBorders/>
            <w:shd w:fill="FFFFFF" w:val="clear"/>
            <w:vAlign w:val="center"/>
          </w:tcPr>
          <w:p>
            <w:pPr>
              <w:pStyle w:val="TableContents"/>
              <w:bidi w:val="0"/>
              <w:spacing w:before="0" w:after="283"/>
              <w:jc w:val="left"/>
              <w:rPr/>
            </w:pPr>
            <w:r>
              <w:rPr/>
              <w:t> </w:t>
            </w:r>
          </w:p>
        </w:tc>
        <w:tc>
          <w:tcPr>
            <w:tcW w:w="119" w:type="dxa"/>
            <w:tcBorders/>
            <w:shd w:fill="FFFFFF" w:val="clear"/>
            <w:vAlign w:val="center"/>
          </w:tcPr>
          <w:p>
            <w:pPr>
              <w:pStyle w:val="TableContents"/>
              <w:bidi w:val="0"/>
              <w:spacing w:before="0" w:after="283"/>
              <w:jc w:val="left"/>
              <w:rPr/>
            </w:pPr>
            <w:r>
              <w:rPr/>
              <w:t> </w:t>
            </w:r>
          </w:p>
        </w:tc>
        <w:tc>
          <w:tcPr>
            <w:tcW w:w="249" w:type="dxa"/>
            <w:tcBorders/>
            <w:shd w:fill="FFFFFF" w:val="clear"/>
            <w:vAlign w:val="center"/>
          </w:tcPr>
          <w:p>
            <w:pPr>
              <w:pStyle w:val="TableContents"/>
              <w:bidi w:val="0"/>
              <w:spacing w:before="0" w:after="283"/>
              <w:jc w:val="left"/>
              <w:rPr/>
            </w:pPr>
            <w:r>
              <w:rPr/>
              <w:t> </w:t>
            </w:r>
          </w:p>
        </w:tc>
        <w:tc>
          <w:tcPr>
            <w:tcW w:w="1177"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r>
      <w:tr>
        <w:trPr/>
        <w:tc>
          <w:tcPr>
            <w:tcW w:w="3335"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Oil</w:t>
            </w:r>
          </w:p>
        </w:tc>
        <w:tc>
          <w:tcPr>
            <w:tcW w:w="60" w:type="dxa"/>
            <w:tcBorders/>
            <w:shd w:fill="CCEEFF" w:val="clear"/>
            <w:vAlign w:val="center"/>
          </w:tcPr>
          <w:p>
            <w:pPr>
              <w:pStyle w:val="TableContents"/>
              <w:bidi w:val="0"/>
              <w:spacing w:before="0" w:after="283"/>
              <w:ind w:left="0" w:right="0" w:hanging="0"/>
              <w:jc w:val="left"/>
              <w:rPr/>
            </w:pPr>
            <w:r>
              <w:rPr/>
              <w:t> </w:t>
            </w:r>
          </w:p>
        </w:tc>
        <w:tc>
          <w:tcPr>
            <w:tcW w:w="273"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6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1,097</w:t>
            </w:r>
          </w:p>
        </w:tc>
        <w:tc>
          <w:tcPr>
            <w:tcW w:w="175" w:type="dxa"/>
            <w:tcBorders/>
            <w:shd w:fill="CCEEFF" w:val="clear"/>
            <w:vAlign w:val="center"/>
          </w:tcPr>
          <w:p>
            <w:pPr>
              <w:pStyle w:val="TableContents"/>
              <w:bidi w:val="0"/>
              <w:spacing w:before="0" w:after="283"/>
              <w:jc w:val="left"/>
              <w:rPr/>
            </w:pPr>
            <w:r>
              <w:rPr/>
              <w:t> </w:t>
            </w:r>
          </w:p>
        </w:tc>
        <w:tc>
          <w:tcPr>
            <w:tcW w:w="131" w:type="dxa"/>
            <w:tcBorders/>
            <w:shd w:fill="CCEEFF" w:val="clear"/>
            <w:vAlign w:val="center"/>
          </w:tcPr>
          <w:p>
            <w:pPr>
              <w:pStyle w:val="TableContents"/>
              <w:bidi w:val="0"/>
              <w:spacing w:before="0" w:after="283"/>
              <w:ind w:left="0" w:right="0" w:hanging="0"/>
              <w:jc w:val="left"/>
              <w:rPr/>
            </w:pPr>
            <w:r>
              <w:rPr/>
              <w:t> </w:t>
            </w:r>
          </w:p>
        </w:tc>
        <w:tc>
          <w:tcPr>
            <w:tcW w:w="273"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6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1,851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49"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6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4,012</w:t>
            </w:r>
          </w:p>
        </w:tc>
        <w:tc>
          <w:tcPr>
            <w:tcW w:w="119" w:type="dxa"/>
            <w:tcBorders/>
            <w:shd w:fill="CCEEFF" w:val="clear"/>
            <w:vAlign w:val="center"/>
          </w:tcPr>
          <w:p>
            <w:pPr>
              <w:pStyle w:val="TableContents"/>
              <w:bidi w:val="0"/>
              <w:spacing w:before="0" w:after="283"/>
              <w:jc w:val="left"/>
              <w:rPr/>
            </w:pPr>
            <w:r>
              <w:rPr/>
              <w:t> </w:t>
            </w:r>
          </w:p>
        </w:tc>
        <w:tc>
          <w:tcPr>
            <w:tcW w:w="119" w:type="dxa"/>
            <w:tcBorders/>
            <w:shd w:fill="CCEEFF" w:val="clear"/>
            <w:vAlign w:val="center"/>
          </w:tcPr>
          <w:p>
            <w:pPr>
              <w:pStyle w:val="TableContents"/>
              <w:bidi w:val="0"/>
              <w:spacing w:before="0" w:after="283"/>
              <w:ind w:left="0" w:right="0" w:hanging="0"/>
              <w:jc w:val="left"/>
              <w:rPr/>
            </w:pPr>
            <w:r>
              <w:rPr/>
              <w:t> </w:t>
            </w:r>
          </w:p>
        </w:tc>
        <w:tc>
          <w:tcPr>
            <w:tcW w:w="249"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177"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5,614</w:t>
            </w:r>
          </w:p>
        </w:tc>
        <w:tc>
          <w:tcPr>
            <w:tcW w:w="60" w:type="dxa"/>
            <w:tcBorders/>
            <w:shd w:fill="CCEEFF" w:val="clear"/>
            <w:vAlign w:val="center"/>
          </w:tcPr>
          <w:p>
            <w:pPr>
              <w:pStyle w:val="TableContents"/>
              <w:bidi w:val="0"/>
              <w:spacing w:before="0" w:after="283"/>
              <w:jc w:val="left"/>
              <w:rPr/>
            </w:pPr>
            <w:r>
              <w:rPr/>
              <w:t> </w:t>
            </w:r>
          </w:p>
        </w:tc>
      </w:tr>
      <w:tr>
        <w:trPr/>
        <w:tc>
          <w:tcPr>
            <w:tcW w:w="3335"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Natural gas and liquids</w:t>
            </w:r>
          </w:p>
        </w:tc>
        <w:tc>
          <w:tcPr>
            <w:tcW w:w="60" w:type="dxa"/>
            <w:tcBorders/>
            <w:shd w:fill="FFFFFF" w:val="clear"/>
            <w:vAlign w:val="center"/>
          </w:tcPr>
          <w:p>
            <w:pPr>
              <w:pStyle w:val="TableContents"/>
              <w:bidi w:val="0"/>
              <w:spacing w:before="0" w:after="283"/>
              <w:jc w:val="left"/>
              <w:rPr/>
            </w:pPr>
            <w:r>
              <w:rPr/>
              <w:t> </w:t>
            </w:r>
          </w:p>
        </w:tc>
        <w:tc>
          <w:tcPr>
            <w:tcW w:w="273"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06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26</w:t>
            </w:r>
          </w:p>
        </w:tc>
        <w:tc>
          <w:tcPr>
            <w:tcW w:w="175" w:type="dxa"/>
            <w:tcBorders/>
            <w:shd w:fill="FFFFFF" w:val="clear"/>
            <w:vAlign w:val="center"/>
          </w:tcPr>
          <w:p>
            <w:pPr>
              <w:pStyle w:val="TableContents"/>
              <w:bidi w:val="0"/>
              <w:spacing w:before="0" w:after="283"/>
              <w:jc w:val="left"/>
              <w:rPr/>
            </w:pPr>
            <w:r>
              <w:rPr/>
              <w:t> </w:t>
            </w:r>
          </w:p>
        </w:tc>
        <w:tc>
          <w:tcPr>
            <w:tcW w:w="131" w:type="dxa"/>
            <w:tcBorders/>
            <w:shd w:fill="FFFFFF" w:val="clear"/>
            <w:vAlign w:val="center"/>
          </w:tcPr>
          <w:p>
            <w:pPr>
              <w:pStyle w:val="TableContents"/>
              <w:bidi w:val="0"/>
              <w:spacing w:before="0" w:after="283"/>
              <w:jc w:val="left"/>
              <w:rPr/>
            </w:pPr>
            <w:r>
              <w:rPr/>
              <w:t> </w:t>
            </w:r>
          </w:p>
        </w:tc>
        <w:tc>
          <w:tcPr>
            <w:tcW w:w="273"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06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49"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68"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129</w:t>
            </w:r>
          </w:p>
        </w:tc>
        <w:tc>
          <w:tcPr>
            <w:tcW w:w="119" w:type="dxa"/>
            <w:tcBorders/>
            <w:shd w:fill="FFFFFF" w:val="clear"/>
            <w:vAlign w:val="center"/>
          </w:tcPr>
          <w:p>
            <w:pPr>
              <w:pStyle w:val="TableContents"/>
              <w:bidi w:val="0"/>
              <w:spacing w:before="0" w:after="283"/>
              <w:jc w:val="left"/>
              <w:rPr/>
            </w:pPr>
            <w:r>
              <w:rPr/>
              <w:t> </w:t>
            </w:r>
          </w:p>
        </w:tc>
        <w:tc>
          <w:tcPr>
            <w:tcW w:w="119" w:type="dxa"/>
            <w:tcBorders/>
            <w:shd w:fill="FFFFFF" w:val="clear"/>
            <w:vAlign w:val="center"/>
          </w:tcPr>
          <w:p>
            <w:pPr>
              <w:pStyle w:val="TableContents"/>
              <w:bidi w:val="0"/>
              <w:spacing w:before="0" w:after="283"/>
              <w:jc w:val="left"/>
              <w:rPr/>
            </w:pPr>
            <w:r>
              <w:rPr/>
              <w:t> </w:t>
            </w:r>
          </w:p>
        </w:tc>
        <w:tc>
          <w:tcPr>
            <w:tcW w:w="249"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177"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127</w:t>
            </w:r>
          </w:p>
        </w:tc>
        <w:tc>
          <w:tcPr>
            <w:tcW w:w="60" w:type="dxa"/>
            <w:tcBorders/>
            <w:shd w:fill="FFFFFF" w:val="clear"/>
            <w:vAlign w:val="center"/>
          </w:tcPr>
          <w:p>
            <w:pPr>
              <w:pStyle w:val="TableContents"/>
              <w:bidi w:val="0"/>
              <w:spacing w:before="0" w:after="283"/>
              <w:jc w:val="left"/>
              <w:rPr/>
            </w:pPr>
            <w:r>
              <w:rPr/>
              <w:t> </w:t>
            </w:r>
          </w:p>
        </w:tc>
      </w:tr>
      <w:tr>
        <w:trPr/>
        <w:tc>
          <w:tcPr>
            <w:tcW w:w="3335" w:type="dxa"/>
            <w:tcBorders/>
            <w:shd w:fill="CCEE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w:t>
            </w:r>
          </w:p>
        </w:tc>
        <w:tc>
          <w:tcPr>
            <w:tcW w:w="60" w:type="dxa"/>
            <w:tcBorders/>
            <w:shd w:fill="CCEEFF" w:val="clear"/>
            <w:vAlign w:val="center"/>
          </w:tcPr>
          <w:p>
            <w:pPr>
              <w:pStyle w:val="TableContents"/>
              <w:bidi w:val="0"/>
              <w:spacing w:before="0" w:after="283"/>
              <w:ind w:left="0" w:right="0" w:hanging="0"/>
              <w:jc w:val="left"/>
              <w:rPr/>
            </w:pPr>
            <w:r>
              <w:rPr/>
              <w:t> </w:t>
            </w:r>
          </w:p>
        </w:tc>
        <w:tc>
          <w:tcPr>
            <w:tcW w:w="273"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6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1,123</w:t>
            </w:r>
          </w:p>
        </w:tc>
        <w:tc>
          <w:tcPr>
            <w:tcW w:w="175" w:type="dxa"/>
            <w:tcBorders/>
            <w:shd w:fill="CCEEFF" w:val="clear"/>
            <w:vAlign w:val="center"/>
          </w:tcPr>
          <w:p>
            <w:pPr>
              <w:pStyle w:val="TableContents"/>
              <w:bidi w:val="0"/>
              <w:spacing w:before="0" w:after="283"/>
              <w:jc w:val="left"/>
              <w:rPr/>
            </w:pPr>
            <w:r>
              <w:rPr/>
              <w:t> </w:t>
            </w:r>
          </w:p>
        </w:tc>
        <w:tc>
          <w:tcPr>
            <w:tcW w:w="131" w:type="dxa"/>
            <w:tcBorders/>
            <w:shd w:fill="CCEEFF" w:val="clear"/>
            <w:vAlign w:val="center"/>
          </w:tcPr>
          <w:p>
            <w:pPr>
              <w:pStyle w:val="TableContents"/>
              <w:bidi w:val="0"/>
              <w:spacing w:before="0" w:after="283"/>
              <w:ind w:left="0" w:right="0" w:hanging="0"/>
              <w:jc w:val="left"/>
              <w:rPr/>
            </w:pPr>
            <w:r>
              <w:rPr/>
              <w:t> </w:t>
            </w:r>
          </w:p>
        </w:tc>
        <w:tc>
          <w:tcPr>
            <w:tcW w:w="273"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6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1,896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49"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6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4,141</w:t>
            </w:r>
          </w:p>
        </w:tc>
        <w:tc>
          <w:tcPr>
            <w:tcW w:w="119" w:type="dxa"/>
            <w:tcBorders/>
            <w:shd w:fill="CCEEFF" w:val="clear"/>
            <w:vAlign w:val="center"/>
          </w:tcPr>
          <w:p>
            <w:pPr>
              <w:pStyle w:val="TableContents"/>
              <w:bidi w:val="0"/>
              <w:spacing w:before="0" w:after="283"/>
              <w:jc w:val="left"/>
              <w:rPr/>
            </w:pPr>
            <w:r>
              <w:rPr/>
              <w:t> </w:t>
            </w:r>
          </w:p>
        </w:tc>
        <w:tc>
          <w:tcPr>
            <w:tcW w:w="119" w:type="dxa"/>
            <w:tcBorders/>
            <w:shd w:fill="CCEEFF" w:val="clear"/>
            <w:vAlign w:val="center"/>
          </w:tcPr>
          <w:p>
            <w:pPr>
              <w:pStyle w:val="TableContents"/>
              <w:bidi w:val="0"/>
              <w:spacing w:before="0" w:after="283"/>
              <w:ind w:left="0" w:right="0" w:hanging="0"/>
              <w:jc w:val="left"/>
              <w:rPr/>
            </w:pPr>
            <w:r>
              <w:rPr/>
              <w:t> </w:t>
            </w:r>
          </w:p>
        </w:tc>
        <w:tc>
          <w:tcPr>
            <w:tcW w:w="249"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177"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5,741</w:t>
            </w:r>
          </w:p>
        </w:tc>
        <w:tc>
          <w:tcPr>
            <w:tcW w:w="60" w:type="dxa"/>
            <w:tcBorders/>
            <w:shd w:fill="CCEEFF" w:val="clear"/>
            <w:vAlign w:val="center"/>
          </w:tcPr>
          <w:p>
            <w:pPr>
              <w:pStyle w:val="TableContents"/>
              <w:bidi w:val="0"/>
              <w:spacing w:before="0" w:after="283"/>
              <w:jc w:val="left"/>
              <w:rPr/>
            </w:pPr>
            <w:r>
              <w:rPr/>
              <w:t> </w:t>
            </w:r>
          </w:p>
        </w:tc>
      </w:tr>
      <w:tr>
        <w:trPr/>
        <w:tc>
          <w:tcPr>
            <w:tcW w:w="333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73" w:type="dxa"/>
            <w:tcBorders/>
            <w:shd w:fill="FFFFFF" w:val="clear"/>
            <w:vAlign w:val="center"/>
          </w:tcPr>
          <w:p>
            <w:pPr>
              <w:pStyle w:val="TableContents"/>
              <w:bidi w:val="0"/>
              <w:spacing w:before="0" w:after="283"/>
              <w:jc w:val="left"/>
              <w:rPr/>
            </w:pPr>
            <w:r>
              <w:rPr/>
              <w:t> </w:t>
            </w:r>
          </w:p>
        </w:tc>
        <w:tc>
          <w:tcPr>
            <w:tcW w:w="1060" w:type="dxa"/>
            <w:tcBorders/>
            <w:shd w:fill="FFFFFF" w:val="clear"/>
            <w:vAlign w:val="center"/>
          </w:tcPr>
          <w:p>
            <w:pPr>
              <w:pStyle w:val="TableContents"/>
              <w:bidi w:val="0"/>
              <w:spacing w:before="0" w:after="283"/>
              <w:jc w:val="left"/>
              <w:rPr/>
            </w:pPr>
            <w:r>
              <w:rPr/>
              <w:t> </w:t>
            </w:r>
          </w:p>
        </w:tc>
        <w:tc>
          <w:tcPr>
            <w:tcW w:w="175" w:type="dxa"/>
            <w:tcBorders/>
            <w:shd w:fill="FFFFFF" w:val="clear"/>
            <w:vAlign w:val="center"/>
          </w:tcPr>
          <w:p>
            <w:pPr>
              <w:pStyle w:val="TableContents"/>
              <w:bidi w:val="0"/>
              <w:spacing w:before="0" w:after="283"/>
              <w:jc w:val="left"/>
              <w:rPr/>
            </w:pPr>
            <w:r>
              <w:rPr/>
              <w:t> </w:t>
            </w:r>
          </w:p>
        </w:tc>
        <w:tc>
          <w:tcPr>
            <w:tcW w:w="131" w:type="dxa"/>
            <w:tcBorders/>
            <w:shd w:fill="FFFFFF" w:val="clear"/>
            <w:vAlign w:val="center"/>
          </w:tcPr>
          <w:p>
            <w:pPr>
              <w:pStyle w:val="TableContents"/>
              <w:bidi w:val="0"/>
              <w:spacing w:before="0" w:after="283"/>
              <w:jc w:val="left"/>
              <w:rPr/>
            </w:pPr>
            <w:r>
              <w:rPr/>
              <w:t> </w:t>
            </w:r>
          </w:p>
        </w:tc>
        <w:tc>
          <w:tcPr>
            <w:tcW w:w="273" w:type="dxa"/>
            <w:tcBorders/>
            <w:shd w:fill="FFFFFF" w:val="clear"/>
            <w:vAlign w:val="center"/>
          </w:tcPr>
          <w:p>
            <w:pPr>
              <w:pStyle w:val="TableContents"/>
              <w:bidi w:val="0"/>
              <w:spacing w:before="0" w:after="283"/>
              <w:jc w:val="left"/>
              <w:rPr/>
            </w:pPr>
            <w:r>
              <w:rPr/>
              <w:t> </w:t>
            </w:r>
          </w:p>
        </w:tc>
        <w:tc>
          <w:tcPr>
            <w:tcW w:w="10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49" w:type="dxa"/>
            <w:tcBorders/>
            <w:shd w:fill="FFFFFF" w:val="clear"/>
            <w:vAlign w:val="center"/>
          </w:tcPr>
          <w:p>
            <w:pPr>
              <w:pStyle w:val="TableContents"/>
              <w:bidi w:val="0"/>
              <w:spacing w:before="0" w:after="283"/>
              <w:jc w:val="left"/>
              <w:rPr/>
            </w:pPr>
            <w:r>
              <w:rPr/>
              <w:t> </w:t>
            </w:r>
          </w:p>
        </w:tc>
        <w:tc>
          <w:tcPr>
            <w:tcW w:w="968" w:type="dxa"/>
            <w:tcBorders/>
            <w:shd w:fill="FFFFFF" w:val="clear"/>
            <w:vAlign w:val="center"/>
          </w:tcPr>
          <w:p>
            <w:pPr>
              <w:pStyle w:val="TableContents"/>
              <w:bidi w:val="0"/>
              <w:spacing w:before="0" w:after="283"/>
              <w:jc w:val="left"/>
              <w:rPr/>
            </w:pPr>
            <w:r>
              <w:rPr/>
              <w:t> </w:t>
            </w:r>
          </w:p>
        </w:tc>
        <w:tc>
          <w:tcPr>
            <w:tcW w:w="119" w:type="dxa"/>
            <w:tcBorders/>
            <w:shd w:fill="FFFFFF" w:val="clear"/>
            <w:vAlign w:val="center"/>
          </w:tcPr>
          <w:p>
            <w:pPr>
              <w:pStyle w:val="TableContents"/>
              <w:bidi w:val="0"/>
              <w:spacing w:before="0" w:after="283"/>
              <w:jc w:val="left"/>
              <w:rPr/>
            </w:pPr>
            <w:r>
              <w:rPr/>
              <w:t> </w:t>
            </w:r>
          </w:p>
        </w:tc>
        <w:tc>
          <w:tcPr>
            <w:tcW w:w="119" w:type="dxa"/>
            <w:tcBorders/>
            <w:shd w:fill="FFFFFF" w:val="clear"/>
            <w:vAlign w:val="center"/>
          </w:tcPr>
          <w:p>
            <w:pPr>
              <w:pStyle w:val="TableContents"/>
              <w:bidi w:val="0"/>
              <w:spacing w:before="0" w:after="283"/>
              <w:jc w:val="left"/>
              <w:rPr/>
            </w:pPr>
            <w:r>
              <w:rPr/>
              <w:t> </w:t>
            </w:r>
          </w:p>
        </w:tc>
        <w:tc>
          <w:tcPr>
            <w:tcW w:w="249" w:type="dxa"/>
            <w:tcBorders/>
            <w:shd w:fill="FFFFFF" w:val="clear"/>
            <w:vAlign w:val="center"/>
          </w:tcPr>
          <w:p>
            <w:pPr>
              <w:pStyle w:val="TableContents"/>
              <w:bidi w:val="0"/>
              <w:spacing w:before="0" w:after="283"/>
              <w:jc w:val="left"/>
              <w:rPr/>
            </w:pPr>
            <w:r>
              <w:rPr/>
              <w:t> </w:t>
            </w:r>
          </w:p>
        </w:tc>
        <w:tc>
          <w:tcPr>
            <w:tcW w:w="1177"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r>
      <w:tr>
        <w:trPr/>
        <w:tc>
          <w:tcPr>
            <w:tcW w:w="3335" w:type="dxa"/>
            <w:tcBorders/>
            <w:shd w:fill="CCEEFF" w:val="clear"/>
            <w:vAlign w:val="center"/>
          </w:tcPr>
          <w:p>
            <w:pPr>
              <w:pStyle w:val="TableContents"/>
              <w:bidi w:val="0"/>
              <w:spacing w:before="0" w:after="0"/>
              <w:ind w:left="180" w:right="0" w:hanging="0"/>
              <w:jc w:val="left"/>
              <w:rPr>
                <w:rFonts w:ascii="Times New Roman;Times;serif" w:hAnsi="Times New Roman;Times;serif"/>
                <w:i/>
                <w:caps w:val="false"/>
                <w:smallCaps w:val="false"/>
                <w:sz w:val="20"/>
              </w:rPr>
            </w:pPr>
            <w:r>
              <w:rPr>
                <w:rFonts w:ascii="Times New Roman;Times;serif" w:hAnsi="Times New Roman;Times;serif"/>
                <w:i/>
                <w:caps w:val="false"/>
                <w:smallCaps w:val="false"/>
                <w:sz w:val="20"/>
              </w:rPr>
              <w:t>West Texas, South Texas, and Gulf Coast</w:t>
            </w:r>
          </w:p>
        </w:tc>
        <w:tc>
          <w:tcPr>
            <w:tcW w:w="60" w:type="dxa"/>
            <w:tcBorders/>
            <w:shd w:fill="CCEEFF" w:val="clear"/>
            <w:vAlign w:val="center"/>
          </w:tcPr>
          <w:p>
            <w:pPr>
              <w:pStyle w:val="TableContents"/>
              <w:bidi w:val="0"/>
              <w:spacing w:before="0" w:after="283"/>
              <w:jc w:val="left"/>
              <w:rPr/>
            </w:pPr>
            <w:r>
              <w:rPr/>
              <w:t> </w:t>
            </w:r>
          </w:p>
        </w:tc>
        <w:tc>
          <w:tcPr>
            <w:tcW w:w="273" w:type="dxa"/>
            <w:tcBorders/>
            <w:shd w:fill="CCEEFF" w:val="clear"/>
            <w:vAlign w:val="center"/>
          </w:tcPr>
          <w:p>
            <w:pPr>
              <w:pStyle w:val="TableContents"/>
              <w:bidi w:val="0"/>
              <w:spacing w:before="0" w:after="283"/>
              <w:jc w:val="left"/>
              <w:rPr/>
            </w:pPr>
            <w:r>
              <w:rPr/>
              <w:t> </w:t>
            </w:r>
          </w:p>
        </w:tc>
        <w:tc>
          <w:tcPr>
            <w:tcW w:w="1060" w:type="dxa"/>
            <w:tcBorders/>
            <w:shd w:fill="CCEEFF" w:val="clear"/>
            <w:vAlign w:val="center"/>
          </w:tcPr>
          <w:p>
            <w:pPr>
              <w:pStyle w:val="TableContents"/>
              <w:bidi w:val="0"/>
              <w:spacing w:before="0" w:after="283"/>
              <w:jc w:val="left"/>
              <w:rPr/>
            </w:pPr>
            <w:r>
              <w:rPr/>
              <w:t> </w:t>
            </w:r>
          </w:p>
        </w:tc>
        <w:tc>
          <w:tcPr>
            <w:tcW w:w="175" w:type="dxa"/>
            <w:tcBorders/>
            <w:shd w:fill="CCEEFF" w:val="clear"/>
            <w:vAlign w:val="center"/>
          </w:tcPr>
          <w:p>
            <w:pPr>
              <w:pStyle w:val="TableContents"/>
              <w:bidi w:val="0"/>
              <w:spacing w:before="0" w:after="283"/>
              <w:jc w:val="left"/>
              <w:rPr/>
            </w:pPr>
            <w:r>
              <w:rPr/>
              <w:t> </w:t>
            </w:r>
          </w:p>
        </w:tc>
        <w:tc>
          <w:tcPr>
            <w:tcW w:w="131" w:type="dxa"/>
            <w:tcBorders/>
            <w:shd w:fill="CCEEFF" w:val="clear"/>
            <w:vAlign w:val="center"/>
          </w:tcPr>
          <w:p>
            <w:pPr>
              <w:pStyle w:val="TableContents"/>
              <w:bidi w:val="0"/>
              <w:spacing w:before="0" w:after="283"/>
              <w:jc w:val="left"/>
              <w:rPr/>
            </w:pPr>
            <w:r>
              <w:rPr/>
              <w:t> </w:t>
            </w:r>
          </w:p>
        </w:tc>
        <w:tc>
          <w:tcPr>
            <w:tcW w:w="273" w:type="dxa"/>
            <w:tcBorders/>
            <w:shd w:fill="CCEEFF" w:val="clear"/>
            <w:vAlign w:val="center"/>
          </w:tcPr>
          <w:p>
            <w:pPr>
              <w:pStyle w:val="TableContents"/>
              <w:bidi w:val="0"/>
              <w:spacing w:before="0" w:after="283"/>
              <w:jc w:val="left"/>
              <w:rPr/>
            </w:pPr>
            <w:r>
              <w:rPr/>
              <w:t> </w:t>
            </w:r>
          </w:p>
        </w:tc>
        <w:tc>
          <w:tcPr>
            <w:tcW w:w="10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49" w:type="dxa"/>
            <w:tcBorders/>
            <w:shd w:fill="CCEEFF" w:val="clear"/>
            <w:vAlign w:val="center"/>
          </w:tcPr>
          <w:p>
            <w:pPr>
              <w:pStyle w:val="TableContents"/>
              <w:bidi w:val="0"/>
              <w:spacing w:before="0" w:after="283"/>
              <w:jc w:val="left"/>
              <w:rPr/>
            </w:pPr>
            <w:r>
              <w:rPr/>
              <w:t> </w:t>
            </w:r>
          </w:p>
        </w:tc>
        <w:tc>
          <w:tcPr>
            <w:tcW w:w="968" w:type="dxa"/>
            <w:tcBorders/>
            <w:shd w:fill="CCEEFF" w:val="clear"/>
            <w:vAlign w:val="center"/>
          </w:tcPr>
          <w:p>
            <w:pPr>
              <w:pStyle w:val="TableContents"/>
              <w:bidi w:val="0"/>
              <w:spacing w:before="0" w:after="283"/>
              <w:jc w:val="left"/>
              <w:rPr/>
            </w:pPr>
            <w:r>
              <w:rPr/>
              <w:t> </w:t>
            </w:r>
          </w:p>
        </w:tc>
        <w:tc>
          <w:tcPr>
            <w:tcW w:w="119" w:type="dxa"/>
            <w:tcBorders/>
            <w:shd w:fill="CCEEFF" w:val="clear"/>
            <w:vAlign w:val="center"/>
          </w:tcPr>
          <w:p>
            <w:pPr>
              <w:pStyle w:val="TableContents"/>
              <w:bidi w:val="0"/>
              <w:spacing w:before="0" w:after="283"/>
              <w:jc w:val="left"/>
              <w:rPr/>
            </w:pPr>
            <w:r>
              <w:rPr/>
              <w:t> </w:t>
            </w:r>
          </w:p>
        </w:tc>
        <w:tc>
          <w:tcPr>
            <w:tcW w:w="119" w:type="dxa"/>
            <w:tcBorders/>
            <w:shd w:fill="CCEEFF" w:val="clear"/>
            <w:vAlign w:val="center"/>
          </w:tcPr>
          <w:p>
            <w:pPr>
              <w:pStyle w:val="TableContents"/>
              <w:bidi w:val="0"/>
              <w:spacing w:before="0" w:after="283"/>
              <w:jc w:val="left"/>
              <w:rPr/>
            </w:pPr>
            <w:r>
              <w:rPr/>
              <w:t> </w:t>
            </w:r>
          </w:p>
        </w:tc>
        <w:tc>
          <w:tcPr>
            <w:tcW w:w="249" w:type="dxa"/>
            <w:tcBorders/>
            <w:shd w:fill="CCEEFF" w:val="clear"/>
            <w:vAlign w:val="center"/>
          </w:tcPr>
          <w:p>
            <w:pPr>
              <w:pStyle w:val="TableContents"/>
              <w:bidi w:val="0"/>
              <w:spacing w:before="0" w:after="283"/>
              <w:jc w:val="left"/>
              <w:rPr/>
            </w:pPr>
            <w:r>
              <w:rPr/>
              <w:t> </w:t>
            </w:r>
          </w:p>
        </w:tc>
        <w:tc>
          <w:tcPr>
            <w:tcW w:w="1177"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r>
      <w:tr>
        <w:trPr/>
        <w:tc>
          <w:tcPr>
            <w:tcW w:w="3335"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Oil</w:t>
            </w:r>
          </w:p>
        </w:tc>
        <w:tc>
          <w:tcPr>
            <w:tcW w:w="60" w:type="dxa"/>
            <w:tcBorders/>
            <w:shd w:fill="FFFFFF" w:val="clear"/>
            <w:vAlign w:val="center"/>
          </w:tcPr>
          <w:p>
            <w:pPr>
              <w:pStyle w:val="TableContents"/>
              <w:bidi w:val="0"/>
              <w:spacing w:before="0" w:after="283"/>
              <w:ind w:left="0" w:right="0" w:hanging="0"/>
              <w:jc w:val="left"/>
              <w:rPr/>
            </w:pPr>
            <w:r>
              <w:rPr/>
              <w:t> </w:t>
            </w:r>
          </w:p>
        </w:tc>
        <w:tc>
          <w:tcPr>
            <w:tcW w:w="273"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6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61</w:t>
            </w:r>
          </w:p>
        </w:tc>
        <w:tc>
          <w:tcPr>
            <w:tcW w:w="175" w:type="dxa"/>
            <w:tcBorders/>
            <w:shd w:fill="FFFFFF" w:val="clear"/>
            <w:vAlign w:val="center"/>
          </w:tcPr>
          <w:p>
            <w:pPr>
              <w:pStyle w:val="TableContents"/>
              <w:bidi w:val="0"/>
              <w:spacing w:before="0" w:after="283"/>
              <w:jc w:val="left"/>
              <w:rPr/>
            </w:pPr>
            <w:r>
              <w:rPr/>
              <w:t> </w:t>
            </w:r>
          </w:p>
        </w:tc>
        <w:tc>
          <w:tcPr>
            <w:tcW w:w="131" w:type="dxa"/>
            <w:tcBorders/>
            <w:shd w:fill="FFFFFF" w:val="clear"/>
            <w:vAlign w:val="center"/>
          </w:tcPr>
          <w:p>
            <w:pPr>
              <w:pStyle w:val="TableContents"/>
              <w:bidi w:val="0"/>
              <w:spacing w:before="0" w:after="283"/>
              <w:ind w:left="0" w:right="0" w:hanging="0"/>
              <w:jc w:val="left"/>
              <w:rPr/>
            </w:pPr>
            <w:r>
              <w:rPr/>
              <w:t> </w:t>
            </w:r>
          </w:p>
        </w:tc>
        <w:tc>
          <w:tcPr>
            <w:tcW w:w="273"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6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1,107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49"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6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715</w:t>
            </w:r>
          </w:p>
        </w:tc>
        <w:tc>
          <w:tcPr>
            <w:tcW w:w="119" w:type="dxa"/>
            <w:tcBorders/>
            <w:shd w:fill="FFFFFF" w:val="clear"/>
            <w:vAlign w:val="center"/>
          </w:tcPr>
          <w:p>
            <w:pPr>
              <w:pStyle w:val="TableContents"/>
              <w:bidi w:val="0"/>
              <w:spacing w:before="0" w:after="283"/>
              <w:jc w:val="left"/>
              <w:rPr/>
            </w:pPr>
            <w:r>
              <w:rPr/>
              <w:t> </w:t>
            </w:r>
          </w:p>
        </w:tc>
        <w:tc>
          <w:tcPr>
            <w:tcW w:w="119" w:type="dxa"/>
            <w:tcBorders/>
            <w:shd w:fill="FFFFFF" w:val="clear"/>
            <w:vAlign w:val="center"/>
          </w:tcPr>
          <w:p>
            <w:pPr>
              <w:pStyle w:val="TableContents"/>
              <w:bidi w:val="0"/>
              <w:spacing w:before="0" w:after="283"/>
              <w:ind w:left="0" w:right="0" w:hanging="0"/>
              <w:jc w:val="left"/>
              <w:rPr/>
            </w:pPr>
            <w:r>
              <w:rPr/>
              <w:t> </w:t>
            </w:r>
          </w:p>
        </w:tc>
        <w:tc>
          <w:tcPr>
            <w:tcW w:w="249"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177"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4,513</w:t>
            </w:r>
          </w:p>
        </w:tc>
        <w:tc>
          <w:tcPr>
            <w:tcW w:w="60" w:type="dxa"/>
            <w:tcBorders/>
            <w:shd w:fill="FFFFFF" w:val="clear"/>
            <w:vAlign w:val="center"/>
          </w:tcPr>
          <w:p>
            <w:pPr>
              <w:pStyle w:val="TableContents"/>
              <w:bidi w:val="0"/>
              <w:spacing w:before="0" w:after="283"/>
              <w:jc w:val="left"/>
              <w:rPr/>
            </w:pPr>
            <w:r>
              <w:rPr/>
              <w:t> </w:t>
            </w:r>
          </w:p>
        </w:tc>
      </w:tr>
      <w:tr>
        <w:trPr/>
        <w:tc>
          <w:tcPr>
            <w:tcW w:w="3335"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Natural gas and liquids</w:t>
            </w:r>
          </w:p>
        </w:tc>
        <w:tc>
          <w:tcPr>
            <w:tcW w:w="60" w:type="dxa"/>
            <w:tcBorders/>
            <w:shd w:fill="CCEEFF" w:val="clear"/>
            <w:vAlign w:val="center"/>
          </w:tcPr>
          <w:p>
            <w:pPr>
              <w:pStyle w:val="TableContents"/>
              <w:bidi w:val="0"/>
              <w:spacing w:before="0" w:after="283"/>
              <w:jc w:val="left"/>
              <w:rPr/>
            </w:pPr>
            <w:r>
              <w:rPr/>
              <w:t> </w:t>
            </w:r>
          </w:p>
        </w:tc>
        <w:tc>
          <w:tcPr>
            <w:tcW w:w="273"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06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(91</w:t>
            </w:r>
          </w:p>
        </w:tc>
        <w:tc>
          <w:tcPr>
            <w:tcW w:w="17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31" w:type="dxa"/>
            <w:tcBorders/>
            <w:shd w:fill="CCEEFF" w:val="clear"/>
            <w:vAlign w:val="center"/>
          </w:tcPr>
          <w:p>
            <w:pPr>
              <w:pStyle w:val="TableContents"/>
              <w:bidi w:val="0"/>
              <w:spacing w:before="0" w:after="283"/>
              <w:jc w:val="left"/>
              <w:rPr/>
            </w:pPr>
            <w:r>
              <w:rPr/>
              <w:t> </w:t>
            </w:r>
          </w:p>
        </w:tc>
        <w:tc>
          <w:tcPr>
            <w:tcW w:w="273"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06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49"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68"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19</w:t>
            </w:r>
          </w:p>
        </w:tc>
        <w:tc>
          <w:tcPr>
            <w:tcW w:w="119" w:type="dxa"/>
            <w:tcBorders/>
            <w:shd w:fill="CCEEFF" w:val="clear"/>
            <w:vAlign w:val="center"/>
          </w:tcPr>
          <w:p>
            <w:pPr>
              <w:pStyle w:val="TableContents"/>
              <w:bidi w:val="0"/>
              <w:spacing w:before="0" w:after="283"/>
              <w:jc w:val="left"/>
              <w:rPr/>
            </w:pPr>
            <w:r>
              <w:rPr/>
              <w:t> </w:t>
            </w:r>
          </w:p>
        </w:tc>
        <w:tc>
          <w:tcPr>
            <w:tcW w:w="119" w:type="dxa"/>
            <w:tcBorders/>
            <w:shd w:fill="CCEEFF" w:val="clear"/>
            <w:vAlign w:val="center"/>
          </w:tcPr>
          <w:p>
            <w:pPr>
              <w:pStyle w:val="TableContents"/>
              <w:bidi w:val="0"/>
              <w:spacing w:before="0" w:after="283"/>
              <w:jc w:val="left"/>
              <w:rPr/>
            </w:pPr>
            <w:r>
              <w:rPr/>
              <w:t> </w:t>
            </w:r>
          </w:p>
        </w:tc>
        <w:tc>
          <w:tcPr>
            <w:tcW w:w="249"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177"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114</w:t>
            </w:r>
          </w:p>
        </w:tc>
        <w:tc>
          <w:tcPr>
            <w:tcW w:w="60" w:type="dxa"/>
            <w:tcBorders/>
            <w:shd w:fill="CCEEFF" w:val="clear"/>
            <w:vAlign w:val="center"/>
          </w:tcPr>
          <w:p>
            <w:pPr>
              <w:pStyle w:val="TableContents"/>
              <w:bidi w:val="0"/>
              <w:spacing w:before="0" w:after="283"/>
              <w:jc w:val="left"/>
              <w:rPr/>
            </w:pPr>
            <w:r>
              <w:rPr/>
              <w:t> </w:t>
            </w:r>
          </w:p>
        </w:tc>
      </w:tr>
      <w:tr>
        <w:trPr/>
        <w:tc>
          <w:tcPr>
            <w:tcW w:w="3335" w:type="dxa"/>
            <w:tcBorders/>
            <w:shd w:fill="FFFF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w:t>
            </w:r>
          </w:p>
        </w:tc>
        <w:tc>
          <w:tcPr>
            <w:tcW w:w="60" w:type="dxa"/>
            <w:tcBorders/>
            <w:shd w:fill="FFFFFF" w:val="clear"/>
            <w:vAlign w:val="center"/>
          </w:tcPr>
          <w:p>
            <w:pPr>
              <w:pStyle w:val="TableContents"/>
              <w:bidi w:val="0"/>
              <w:spacing w:before="0" w:after="283"/>
              <w:ind w:left="0" w:right="0" w:hanging="0"/>
              <w:jc w:val="left"/>
              <w:rPr/>
            </w:pPr>
            <w:r>
              <w:rPr/>
              <w:t> </w:t>
            </w:r>
          </w:p>
        </w:tc>
        <w:tc>
          <w:tcPr>
            <w:tcW w:w="273"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6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(30</w:t>
            </w:r>
          </w:p>
        </w:tc>
        <w:tc>
          <w:tcPr>
            <w:tcW w:w="17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31" w:type="dxa"/>
            <w:tcBorders/>
            <w:shd w:fill="FFFFFF" w:val="clear"/>
            <w:vAlign w:val="center"/>
          </w:tcPr>
          <w:p>
            <w:pPr>
              <w:pStyle w:val="TableContents"/>
              <w:bidi w:val="0"/>
              <w:spacing w:before="0" w:after="283"/>
              <w:ind w:left="0" w:right="0" w:hanging="0"/>
              <w:jc w:val="left"/>
              <w:rPr/>
            </w:pPr>
            <w:r>
              <w:rPr/>
              <w:t> </w:t>
            </w:r>
          </w:p>
        </w:tc>
        <w:tc>
          <w:tcPr>
            <w:tcW w:w="273"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6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1,107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49"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6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734</w:t>
            </w:r>
          </w:p>
        </w:tc>
        <w:tc>
          <w:tcPr>
            <w:tcW w:w="119" w:type="dxa"/>
            <w:tcBorders/>
            <w:shd w:fill="FFFFFF" w:val="clear"/>
            <w:vAlign w:val="center"/>
          </w:tcPr>
          <w:p>
            <w:pPr>
              <w:pStyle w:val="TableContents"/>
              <w:bidi w:val="0"/>
              <w:spacing w:before="0" w:after="283"/>
              <w:jc w:val="left"/>
              <w:rPr/>
            </w:pPr>
            <w:r>
              <w:rPr/>
              <w:t> </w:t>
            </w:r>
          </w:p>
        </w:tc>
        <w:tc>
          <w:tcPr>
            <w:tcW w:w="119" w:type="dxa"/>
            <w:tcBorders/>
            <w:shd w:fill="FFFFFF" w:val="clear"/>
            <w:vAlign w:val="center"/>
          </w:tcPr>
          <w:p>
            <w:pPr>
              <w:pStyle w:val="TableContents"/>
              <w:bidi w:val="0"/>
              <w:spacing w:before="0" w:after="283"/>
              <w:ind w:left="0" w:right="0" w:hanging="0"/>
              <w:jc w:val="left"/>
              <w:rPr/>
            </w:pPr>
            <w:r>
              <w:rPr/>
              <w:t> </w:t>
            </w:r>
          </w:p>
        </w:tc>
        <w:tc>
          <w:tcPr>
            <w:tcW w:w="249"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177"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4,627</w:t>
            </w:r>
          </w:p>
        </w:tc>
        <w:tc>
          <w:tcPr>
            <w:tcW w:w="60" w:type="dxa"/>
            <w:tcBorders/>
            <w:shd w:fill="FFFFFF" w:val="clear"/>
            <w:vAlign w:val="center"/>
          </w:tcPr>
          <w:p>
            <w:pPr>
              <w:pStyle w:val="TableContents"/>
              <w:bidi w:val="0"/>
              <w:spacing w:before="0" w:after="283"/>
              <w:jc w:val="left"/>
              <w:rPr/>
            </w:pPr>
            <w:r>
              <w:rPr/>
              <w:t> </w:t>
            </w:r>
          </w:p>
        </w:tc>
      </w:tr>
      <w:tr>
        <w:trPr/>
        <w:tc>
          <w:tcPr>
            <w:tcW w:w="333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73" w:type="dxa"/>
            <w:tcBorders/>
            <w:shd w:fill="CCEEFF" w:val="clear"/>
            <w:vAlign w:val="center"/>
          </w:tcPr>
          <w:p>
            <w:pPr>
              <w:pStyle w:val="TableContents"/>
              <w:bidi w:val="0"/>
              <w:spacing w:before="0" w:after="283"/>
              <w:jc w:val="left"/>
              <w:rPr/>
            </w:pPr>
            <w:r>
              <w:rPr/>
              <w:t> </w:t>
            </w:r>
          </w:p>
        </w:tc>
        <w:tc>
          <w:tcPr>
            <w:tcW w:w="1060" w:type="dxa"/>
            <w:tcBorders/>
            <w:shd w:fill="CCEEFF" w:val="clear"/>
            <w:vAlign w:val="center"/>
          </w:tcPr>
          <w:p>
            <w:pPr>
              <w:pStyle w:val="TableContents"/>
              <w:bidi w:val="0"/>
              <w:spacing w:before="0" w:after="283"/>
              <w:jc w:val="left"/>
              <w:rPr/>
            </w:pPr>
            <w:r>
              <w:rPr/>
              <w:t> </w:t>
            </w:r>
          </w:p>
        </w:tc>
        <w:tc>
          <w:tcPr>
            <w:tcW w:w="175" w:type="dxa"/>
            <w:tcBorders/>
            <w:shd w:fill="CCEEFF" w:val="clear"/>
            <w:vAlign w:val="center"/>
          </w:tcPr>
          <w:p>
            <w:pPr>
              <w:pStyle w:val="TableContents"/>
              <w:bidi w:val="0"/>
              <w:spacing w:before="0" w:after="283"/>
              <w:jc w:val="left"/>
              <w:rPr/>
            </w:pPr>
            <w:r>
              <w:rPr/>
              <w:t> </w:t>
            </w:r>
          </w:p>
        </w:tc>
        <w:tc>
          <w:tcPr>
            <w:tcW w:w="131" w:type="dxa"/>
            <w:tcBorders/>
            <w:shd w:fill="CCEEFF" w:val="clear"/>
            <w:vAlign w:val="center"/>
          </w:tcPr>
          <w:p>
            <w:pPr>
              <w:pStyle w:val="TableContents"/>
              <w:bidi w:val="0"/>
              <w:spacing w:before="0" w:after="283"/>
              <w:jc w:val="left"/>
              <w:rPr/>
            </w:pPr>
            <w:r>
              <w:rPr/>
              <w:t> </w:t>
            </w:r>
          </w:p>
        </w:tc>
        <w:tc>
          <w:tcPr>
            <w:tcW w:w="273" w:type="dxa"/>
            <w:tcBorders/>
            <w:shd w:fill="CCEEFF" w:val="clear"/>
            <w:vAlign w:val="center"/>
          </w:tcPr>
          <w:p>
            <w:pPr>
              <w:pStyle w:val="TableContents"/>
              <w:bidi w:val="0"/>
              <w:spacing w:before="0" w:after="283"/>
              <w:jc w:val="left"/>
              <w:rPr/>
            </w:pPr>
            <w:r>
              <w:rPr/>
              <w:t> </w:t>
            </w:r>
          </w:p>
        </w:tc>
        <w:tc>
          <w:tcPr>
            <w:tcW w:w="10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49" w:type="dxa"/>
            <w:tcBorders/>
            <w:shd w:fill="CCEEFF" w:val="clear"/>
            <w:vAlign w:val="center"/>
          </w:tcPr>
          <w:p>
            <w:pPr>
              <w:pStyle w:val="TableContents"/>
              <w:bidi w:val="0"/>
              <w:spacing w:before="0" w:after="283"/>
              <w:jc w:val="left"/>
              <w:rPr/>
            </w:pPr>
            <w:r>
              <w:rPr/>
              <w:t> </w:t>
            </w:r>
          </w:p>
        </w:tc>
        <w:tc>
          <w:tcPr>
            <w:tcW w:w="968" w:type="dxa"/>
            <w:tcBorders/>
            <w:shd w:fill="CCEEFF" w:val="clear"/>
            <w:vAlign w:val="center"/>
          </w:tcPr>
          <w:p>
            <w:pPr>
              <w:pStyle w:val="TableContents"/>
              <w:bidi w:val="0"/>
              <w:spacing w:before="0" w:after="283"/>
              <w:jc w:val="left"/>
              <w:rPr/>
            </w:pPr>
            <w:r>
              <w:rPr/>
              <w:t> </w:t>
            </w:r>
          </w:p>
        </w:tc>
        <w:tc>
          <w:tcPr>
            <w:tcW w:w="119" w:type="dxa"/>
            <w:tcBorders/>
            <w:shd w:fill="CCEEFF" w:val="clear"/>
            <w:vAlign w:val="center"/>
          </w:tcPr>
          <w:p>
            <w:pPr>
              <w:pStyle w:val="TableContents"/>
              <w:bidi w:val="0"/>
              <w:spacing w:before="0" w:after="283"/>
              <w:jc w:val="left"/>
              <w:rPr/>
            </w:pPr>
            <w:r>
              <w:rPr/>
              <w:t> </w:t>
            </w:r>
          </w:p>
        </w:tc>
        <w:tc>
          <w:tcPr>
            <w:tcW w:w="119" w:type="dxa"/>
            <w:tcBorders/>
            <w:shd w:fill="CCEEFF" w:val="clear"/>
            <w:vAlign w:val="center"/>
          </w:tcPr>
          <w:p>
            <w:pPr>
              <w:pStyle w:val="TableContents"/>
              <w:bidi w:val="0"/>
              <w:spacing w:before="0" w:after="283"/>
              <w:jc w:val="left"/>
              <w:rPr/>
            </w:pPr>
            <w:r>
              <w:rPr/>
              <w:t> </w:t>
            </w:r>
          </w:p>
        </w:tc>
        <w:tc>
          <w:tcPr>
            <w:tcW w:w="249" w:type="dxa"/>
            <w:tcBorders/>
            <w:shd w:fill="CCEEFF" w:val="clear"/>
            <w:vAlign w:val="center"/>
          </w:tcPr>
          <w:p>
            <w:pPr>
              <w:pStyle w:val="TableContents"/>
              <w:bidi w:val="0"/>
              <w:spacing w:before="0" w:after="283"/>
              <w:jc w:val="left"/>
              <w:rPr/>
            </w:pPr>
            <w:r>
              <w:rPr/>
              <w:t> </w:t>
            </w:r>
          </w:p>
        </w:tc>
        <w:tc>
          <w:tcPr>
            <w:tcW w:w="1177"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r>
      <w:tr>
        <w:trPr/>
        <w:tc>
          <w:tcPr>
            <w:tcW w:w="3335" w:type="dxa"/>
            <w:tcBorders/>
            <w:shd w:fill="FFFFFF" w:val="clear"/>
            <w:vAlign w:val="center"/>
          </w:tcPr>
          <w:p>
            <w:pPr>
              <w:pStyle w:val="TableContents"/>
              <w:bidi w:val="0"/>
              <w:spacing w:before="0" w:after="0"/>
              <w:ind w:left="180" w:right="0" w:hanging="0"/>
              <w:jc w:val="left"/>
              <w:rPr>
                <w:rFonts w:ascii="Times New Roman;Times;serif" w:hAnsi="Times New Roman;Times;serif"/>
                <w:i/>
                <w:caps w:val="false"/>
                <w:smallCaps w:val="false"/>
                <w:sz w:val="20"/>
              </w:rPr>
            </w:pPr>
            <w:r>
              <w:rPr>
                <w:rFonts w:ascii="Times New Roman;Times;serif" w:hAnsi="Times New Roman;Times;serif"/>
                <w:i/>
                <w:caps w:val="false"/>
                <w:smallCaps w:val="false"/>
                <w:sz w:val="20"/>
              </w:rPr>
              <w:t>Mid-Continent</w:t>
            </w:r>
          </w:p>
        </w:tc>
        <w:tc>
          <w:tcPr>
            <w:tcW w:w="60" w:type="dxa"/>
            <w:tcBorders/>
            <w:shd w:fill="FFFFFF" w:val="clear"/>
            <w:vAlign w:val="center"/>
          </w:tcPr>
          <w:p>
            <w:pPr>
              <w:pStyle w:val="TableContents"/>
              <w:bidi w:val="0"/>
              <w:spacing w:before="0" w:after="283"/>
              <w:jc w:val="left"/>
              <w:rPr/>
            </w:pPr>
            <w:r>
              <w:rPr/>
              <w:t> </w:t>
            </w:r>
          </w:p>
        </w:tc>
        <w:tc>
          <w:tcPr>
            <w:tcW w:w="273" w:type="dxa"/>
            <w:tcBorders/>
            <w:shd w:fill="FFFFFF" w:val="clear"/>
            <w:vAlign w:val="center"/>
          </w:tcPr>
          <w:p>
            <w:pPr>
              <w:pStyle w:val="TableContents"/>
              <w:bidi w:val="0"/>
              <w:spacing w:before="0" w:after="283"/>
              <w:jc w:val="left"/>
              <w:rPr/>
            </w:pPr>
            <w:r>
              <w:rPr/>
              <w:t> </w:t>
            </w:r>
          </w:p>
        </w:tc>
        <w:tc>
          <w:tcPr>
            <w:tcW w:w="1060" w:type="dxa"/>
            <w:tcBorders/>
            <w:shd w:fill="FFFFFF" w:val="clear"/>
            <w:vAlign w:val="center"/>
          </w:tcPr>
          <w:p>
            <w:pPr>
              <w:pStyle w:val="TableContents"/>
              <w:bidi w:val="0"/>
              <w:spacing w:before="0" w:after="283"/>
              <w:jc w:val="left"/>
              <w:rPr/>
            </w:pPr>
            <w:r>
              <w:rPr/>
              <w:t> </w:t>
            </w:r>
          </w:p>
        </w:tc>
        <w:tc>
          <w:tcPr>
            <w:tcW w:w="175" w:type="dxa"/>
            <w:tcBorders/>
            <w:shd w:fill="FFFFFF" w:val="clear"/>
            <w:vAlign w:val="center"/>
          </w:tcPr>
          <w:p>
            <w:pPr>
              <w:pStyle w:val="TableContents"/>
              <w:bidi w:val="0"/>
              <w:spacing w:before="0" w:after="283"/>
              <w:jc w:val="left"/>
              <w:rPr/>
            </w:pPr>
            <w:r>
              <w:rPr/>
              <w:t> </w:t>
            </w:r>
          </w:p>
        </w:tc>
        <w:tc>
          <w:tcPr>
            <w:tcW w:w="131" w:type="dxa"/>
            <w:tcBorders/>
            <w:shd w:fill="FFFFFF" w:val="clear"/>
            <w:vAlign w:val="center"/>
          </w:tcPr>
          <w:p>
            <w:pPr>
              <w:pStyle w:val="TableContents"/>
              <w:bidi w:val="0"/>
              <w:spacing w:before="0" w:after="283"/>
              <w:jc w:val="left"/>
              <w:rPr/>
            </w:pPr>
            <w:r>
              <w:rPr/>
              <w:t> </w:t>
            </w:r>
          </w:p>
        </w:tc>
        <w:tc>
          <w:tcPr>
            <w:tcW w:w="273" w:type="dxa"/>
            <w:tcBorders/>
            <w:shd w:fill="FFFFFF" w:val="clear"/>
            <w:vAlign w:val="center"/>
          </w:tcPr>
          <w:p>
            <w:pPr>
              <w:pStyle w:val="TableContents"/>
              <w:bidi w:val="0"/>
              <w:spacing w:before="0" w:after="283"/>
              <w:jc w:val="left"/>
              <w:rPr/>
            </w:pPr>
            <w:r>
              <w:rPr/>
              <w:t> </w:t>
            </w:r>
          </w:p>
        </w:tc>
        <w:tc>
          <w:tcPr>
            <w:tcW w:w="10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49" w:type="dxa"/>
            <w:tcBorders/>
            <w:shd w:fill="FFFFFF" w:val="clear"/>
            <w:vAlign w:val="center"/>
          </w:tcPr>
          <w:p>
            <w:pPr>
              <w:pStyle w:val="TableContents"/>
              <w:bidi w:val="0"/>
              <w:spacing w:before="0" w:after="283"/>
              <w:jc w:val="left"/>
              <w:rPr/>
            </w:pPr>
            <w:r>
              <w:rPr/>
              <w:t> </w:t>
            </w:r>
          </w:p>
        </w:tc>
        <w:tc>
          <w:tcPr>
            <w:tcW w:w="968" w:type="dxa"/>
            <w:tcBorders/>
            <w:shd w:fill="FFFFFF" w:val="clear"/>
            <w:vAlign w:val="center"/>
          </w:tcPr>
          <w:p>
            <w:pPr>
              <w:pStyle w:val="TableContents"/>
              <w:bidi w:val="0"/>
              <w:spacing w:before="0" w:after="283"/>
              <w:jc w:val="left"/>
              <w:rPr/>
            </w:pPr>
            <w:r>
              <w:rPr/>
              <w:t> </w:t>
            </w:r>
          </w:p>
        </w:tc>
        <w:tc>
          <w:tcPr>
            <w:tcW w:w="119" w:type="dxa"/>
            <w:tcBorders/>
            <w:shd w:fill="FFFFFF" w:val="clear"/>
            <w:vAlign w:val="center"/>
          </w:tcPr>
          <w:p>
            <w:pPr>
              <w:pStyle w:val="TableContents"/>
              <w:bidi w:val="0"/>
              <w:spacing w:before="0" w:after="283"/>
              <w:jc w:val="left"/>
              <w:rPr/>
            </w:pPr>
            <w:r>
              <w:rPr/>
              <w:t> </w:t>
            </w:r>
          </w:p>
        </w:tc>
        <w:tc>
          <w:tcPr>
            <w:tcW w:w="119" w:type="dxa"/>
            <w:tcBorders/>
            <w:shd w:fill="FFFFFF" w:val="clear"/>
            <w:vAlign w:val="center"/>
          </w:tcPr>
          <w:p>
            <w:pPr>
              <w:pStyle w:val="TableContents"/>
              <w:bidi w:val="0"/>
              <w:spacing w:before="0" w:after="283"/>
              <w:jc w:val="left"/>
              <w:rPr/>
            </w:pPr>
            <w:r>
              <w:rPr/>
              <w:t> </w:t>
            </w:r>
          </w:p>
        </w:tc>
        <w:tc>
          <w:tcPr>
            <w:tcW w:w="249" w:type="dxa"/>
            <w:tcBorders/>
            <w:shd w:fill="FFFFFF" w:val="clear"/>
            <w:vAlign w:val="center"/>
          </w:tcPr>
          <w:p>
            <w:pPr>
              <w:pStyle w:val="TableContents"/>
              <w:bidi w:val="0"/>
              <w:spacing w:before="0" w:after="283"/>
              <w:jc w:val="left"/>
              <w:rPr/>
            </w:pPr>
            <w:r>
              <w:rPr/>
              <w:t> </w:t>
            </w:r>
          </w:p>
        </w:tc>
        <w:tc>
          <w:tcPr>
            <w:tcW w:w="1177"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r>
      <w:tr>
        <w:trPr/>
        <w:tc>
          <w:tcPr>
            <w:tcW w:w="3335"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Oil</w:t>
            </w:r>
          </w:p>
        </w:tc>
        <w:tc>
          <w:tcPr>
            <w:tcW w:w="60" w:type="dxa"/>
            <w:tcBorders/>
            <w:shd w:fill="CCEEFF" w:val="clear"/>
            <w:vAlign w:val="center"/>
          </w:tcPr>
          <w:p>
            <w:pPr>
              <w:pStyle w:val="TableContents"/>
              <w:bidi w:val="0"/>
              <w:spacing w:before="0" w:after="283"/>
              <w:ind w:left="0" w:right="0" w:hanging="0"/>
              <w:jc w:val="left"/>
              <w:rPr/>
            </w:pPr>
            <w:r>
              <w:rPr/>
              <w:t> </w:t>
            </w:r>
          </w:p>
        </w:tc>
        <w:tc>
          <w:tcPr>
            <w:tcW w:w="273"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6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429</w:t>
            </w:r>
          </w:p>
        </w:tc>
        <w:tc>
          <w:tcPr>
            <w:tcW w:w="175" w:type="dxa"/>
            <w:tcBorders/>
            <w:shd w:fill="CCEEFF" w:val="clear"/>
            <w:vAlign w:val="center"/>
          </w:tcPr>
          <w:p>
            <w:pPr>
              <w:pStyle w:val="TableContents"/>
              <w:bidi w:val="0"/>
              <w:spacing w:before="0" w:after="283"/>
              <w:jc w:val="left"/>
              <w:rPr/>
            </w:pPr>
            <w:r>
              <w:rPr/>
              <w:t> </w:t>
            </w:r>
          </w:p>
        </w:tc>
        <w:tc>
          <w:tcPr>
            <w:tcW w:w="131" w:type="dxa"/>
            <w:tcBorders/>
            <w:shd w:fill="CCEEFF" w:val="clear"/>
            <w:vAlign w:val="center"/>
          </w:tcPr>
          <w:p>
            <w:pPr>
              <w:pStyle w:val="TableContents"/>
              <w:bidi w:val="0"/>
              <w:spacing w:before="0" w:after="283"/>
              <w:ind w:left="0" w:right="0" w:hanging="0"/>
              <w:jc w:val="left"/>
              <w:rPr/>
            </w:pPr>
            <w:r>
              <w:rPr/>
              <w:t> </w:t>
            </w:r>
          </w:p>
        </w:tc>
        <w:tc>
          <w:tcPr>
            <w:tcW w:w="273"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6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1,417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49"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6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474</w:t>
            </w:r>
          </w:p>
        </w:tc>
        <w:tc>
          <w:tcPr>
            <w:tcW w:w="119" w:type="dxa"/>
            <w:tcBorders/>
            <w:shd w:fill="CCEEFF" w:val="clear"/>
            <w:vAlign w:val="center"/>
          </w:tcPr>
          <w:p>
            <w:pPr>
              <w:pStyle w:val="TableContents"/>
              <w:bidi w:val="0"/>
              <w:spacing w:before="0" w:after="283"/>
              <w:jc w:val="left"/>
              <w:rPr/>
            </w:pPr>
            <w:r>
              <w:rPr/>
              <w:t> </w:t>
            </w:r>
          </w:p>
        </w:tc>
        <w:tc>
          <w:tcPr>
            <w:tcW w:w="119" w:type="dxa"/>
            <w:tcBorders/>
            <w:shd w:fill="CCEEFF" w:val="clear"/>
            <w:vAlign w:val="center"/>
          </w:tcPr>
          <w:p>
            <w:pPr>
              <w:pStyle w:val="TableContents"/>
              <w:bidi w:val="0"/>
              <w:spacing w:before="0" w:after="283"/>
              <w:ind w:left="0" w:right="0" w:hanging="0"/>
              <w:jc w:val="left"/>
              <w:rPr/>
            </w:pPr>
            <w:r>
              <w:rPr/>
              <w:t> </w:t>
            </w:r>
          </w:p>
        </w:tc>
        <w:tc>
          <w:tcPr>
            <w:tcW w:w="249"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177"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4,447</w:t>
            </w:r>
          </w:p>
        </w:tc>
        <w:tc>
          <w:tcPr>
            <w:tcW w:w="60" w:type="dxa"/>
            <w:tcBorders/>
            <w:shd w:fill="CCEEFF" w:val="clear"/>
            <w:vAlign w:val="center"/>
          </w:tcPr>
          <w:p>
            <w:pPr>
              <w:pStyle w:val="TableContents"/>
              <w:bidi w:val="0"/>
              <w:spacing w:before="0" w:after="283"/>
              <w:jc w:val="left"/>
              <w:rPr/>
            </w:pPr>
            <w:r>
              <w:rPr/>
              <w:t> </w:t>
            </w:r>
          </w:p>
        </w:tc>
      </w:tr>
      <w:tr>
        <w:trPr/>
        <w:tc>
          <w:tcPr>
            <w:tcW w:w="3335"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Natural gas and liquids</w:t>
            </w:r>
          </w:p>
        </w:tc>
        <w:tc>
          <w:tcPr>
            <w:tcW w:w="60" w:type="dxa"/>
            <w:tcBorders/>
            <w:shd w:fill="FFFFFF" w:val="clear"/>
            <w:vAlign w:val="center"/>
          </w:tcPr>
          <w:p>
            <w:pPr>
              <w:pStyle w:val="TableContents"/>
              <w:bidi w:val="0"/>
              <w:spacing w:before="0" w:after="283"/>
              <w:jc w:val="left"/>
              <w:rPr/>
            </w:pPr>
            <w:r>
              <w:rPr/>
              <w:t> </w:t>
            </w:r>
          </w:p>
        </w:tc>
        <w:tc>
          <w:tcPr>
            <w:tcW w:w="273"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06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216</w:t>
            </w:r>
          </w:p>
        </w:tc>
        <w:tc>
          <w:tcPr>
            <w:tcW w:w="175" w:type="dxa"/>
            <w:tcBorders/>
            <w:shd w:fill="FFFFFF" w:val="clear"/>
            <w:vAlign w:val="center"/>
          </w:tcPr>
          <w:p>
            <w:pPr>
              <w:pStyle w:val="TableContents"/>
              <w:bidi w:val="0"/>
              <w:spacing w:before="0" w:after="283"/>
              <w:jc w:val="left"/>
              <w:rPr/>
            </w:pPr>
            <w:r>
              <w:rPr/>
              <w:t> </w:t>
            </w:r>
          </w:p>
        </w:tc>
        <w:tc>
          <w:tcPr>
            <w:tcW w:w="131" w:type="dxa"/>
            <w:tcBorders/>
            <w:shd w:fill="FFFFFF" w:val="clear"/>
            <w:vAlign w:val="center"/>
          </w:tcPr>
          <w:p>
            <w:pPr>
              <w:pStyle w:val="TableContents"/>
              <w:bidi w:val="0"/>
              <w:spacing w:before="0" w:after="283"/>
              <w:jc w:val="left"/>
              <w:rPr/>
            </w:pPr>
            <w:r>
              <w:rPr/>
              <w:t> </w:t>
            </w:r>
          </w:p>
        </w:tc>
        <w:tc>
          <w:tcPr>
            <w:tcW w:w="273"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06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537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49"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68"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610</w:t>
            </w:r>
          </w:p>
        </w:tc>
        <w:tc>
          <w:tcPr>
            <w:tcW w:w="119" w:type="dxa"/>
            <w:tcBorders/>
            <w:shd w:fill="FFFFFF" w:val="clear"/>
            <w:vAlign w:val="center"/>
          </w:tcPr>
          <w:p>
            <w:pPr>
              <w:pStyle w:val="TableContents"/>
              <w:bidi w:val="0"/>
              <w:spacing w:before="0" w:after="283"/>
              <w:jc w:val="left"/>
              <w:rPr/>
            </w:pPr>
            <w:r>
              <w:rPr/>
              <w:t> </w:t>
            </w:r>
          </w:p>
        </w:tc>
        <w:tc>
          <w:tcPr>
            <w:tcW w:w="119" w:type="dxa"/>
            <w:tcBorders/>
            <w:shd w:fill="FFFFFF" w:val="clear"/>
            <w:vAlign w:val="center"/>
          </w:tcPr>
          <w:p>
            <w:pPr>
              <w:pStyle w:val="TableContents"/>
              <w:bidi w:val="0"/>
              <w:spacing w:before="0" w:after="283"/>
              <w:jc w:val="left"/>
              <w:rPr/>
            </w:pPr>
            <w:r>
              <w:rPr/>
              <w:t> </w:t>
            </w:r>
          </w:p>
        </w:tc>
        <w:tc>
          <w:tcPr>
            <w:tcW w:w="249"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177"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1,579</w:t>
            </w:r>
          </w:p>
        </w:tc>
        <w:tc>
          <w:tcPr>
            <w:tcW w:w="60" w:type="dxa"/>
            <w:tcBorders/>
            <w:shd w:fill="FFFFFF" w:val="clear"/>
            <w:vAlign w:val="center"/>
          </w:tcPr>
          <w:p>
            <w:pPr>
              <w:pStyle w:val="TableContents"/>
              <w:bidi w:val="0"/>
              <w:spacing w:before="0" w:after="283"/>
              <w:jc w:val="left"/>
              <w:rPr/>
            </w:pPr>
            <w:r>
              <w:rPr/>
              <w:t> </w:t>
            </w:r>
          </w:p>
        </w:tc>
      </w:tr>
      <w:tr>
        <w:trPr/>
        <w:tc>
          <w:tcPr>
            <w:tcW w:w="3335" w:type="dxa"/>
            <w:tcBorders/>
            <w:shd w:fill="CCEE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w:t>
            </w:r>
          </w:p>
        </w:tc>
        <w:tc>
          <w:tcPr>
            <w:tcW w:w="60" w:type="dxa"/>
            <w:tcBorders/>
            <w:shd w:fill="CCEEFF" w:val="clear"/>
            <w:vAlign w:val="center"/>
          </w:tcPr>
          <w:p>
            <w:pPr>
              <w:pStyle w:val="TableContents"/>
              <w:bidi w:val="0"/>
              <w:spacing w:before="0" w:after="283"/>
              <w:ind w:left="0" w:right="0" w:hanging="0"/>
              <w:jc w:val="left"/>
              <w:rPr/>
            </w:pPr>
            <w:r>
              <w:rPr/>
              <w:t> </w:t>
            </w:r>
          </w:p>
        </w:tc>
        <w:tc>
          <w:tcPr>
            <w:tcW w:w="273"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6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645</w:t>
            </w:r>
          </w:p>
        </w:tc>
        <w:tc>
          <w:tcPr>
            <w:tcW w:w="175" w:type="dxa"/>
            <w:tcBorders/>
            <w:shd w:fill="CCEEFF" w:val="clear"/>
            <w:vAlign w:val="center"/>
          </w:tcPr>
          <w:p>
            <w:pPr>
              <w:pStyle w:val="TableContents"/>
              <w:bidi w:val="0"/>
              <w:spacing w:before="0" w:after="283"/>
              <w:jc w:val="left"/>
              <w:rPr/>
            </w:pPr>
            <w:r>
              <w:rPr/>
              <w:t> </w:t>
            </w:r>
          </w:p>
        </w:tc>
        <w:tc>
          <w:tcPr>
            <w:tcW w:w="131" w:type="dxa"/>
            <w:tcBorders/>
            <w:shd w:fill="CCEEFF" w:val="clear"/>
            <w:vAlign w:val="center"/>
          </w:tcPr>
          <w:p>
            <w:pPr>
              <w:pStyle w:val="TableContents"/>
              <w:bidi w:val="0"/>
              <w:spacing w:before="0" w:after="283"/>
              <w:ind w:left="0" w:right="0" w:hanging="0"/>
              <w:jc w:val="left"/>
              <w:rPr/>
            </w:pPr>
            <w:r>
              <w:rPr/>
              <w:t> </w:t>
            </w:r>
          </w:p>
        </w:tc>
        <w:tc>
          <w:tcPr>
            <w:tcW w:w="273"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6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1,954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49"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6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1,084</w:t>
            </w:r>
          </w:p>
        </w:tc>
        <w:tc>
          <w:tcPr>
            <w:tcW w:w="119" w:type="dxa"/>
            <w:tcBorders/>
            <w:shd w:fill="CCEEFF" w:val="clear"/>
            <w:vAlign w:val="center"/>
          </w:tcPr>
          <w:p>
            <w:pPr>
              <w:pStyle w:val="TableContents"/>
              <w:bidi w:val="0"/>
              <w:spacing w:before="0" w:after="283"/>
              <w:jc w:val="left"/>
              <w:rPr/>
            </w:pPr>
            <w:r>
              <w:rPr/>
              <w:t> </w:t>
            </w:r>
          </w:p>
        </w:tc>
        <w:tc>
          <w:tcPr>
            <w:tcW w:w="119" w:type="dxa"/>
            <w:tcBorders/>
            <w:shd w:fill="CCEEFF" w:val="clear"/>
            <w:vAlign w:val="center"/>
          </w:tcPr>
          <w:p>
            <w:pPr>
              <w:pStyle w:val="TableContents"/>
              <w:bidi w:val="0"/>
              <w:spacing w:before="0" w:after="283"/>
              <w:ind w:left="0" w:right="0" w:hanging="0"/>
              <w:jc w:val="left"/>
              <w:rPr/>
            </w:pPr>
            <w:r>
              <w:rPr/>
              <w:t> </w:t>
            </w:r>
          </w:p>
        </w:tc>
        <w:tc>
          <w:tcPr>
            <w:tcW w:w="249"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177"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6,026</w:t>
            </w:r>
          </w:p>
        </w:tc>
        <w:tc>
          <w:tcPr>
            <w:tcW w:w="60" w:type="dxa"/>
            <w:tcBorders/>
            <w:shd w:fill="CCEEFF" w:val="clear"/>
            <w:vAlign w:val="center"/>
          </w:tcPr>
          <w:p>
            <w:pPr>
              <w:pStyle w:val="TableContents"/>
              <w:bidi w:val="0"/>
              <w:spacing w:before="0" w:after="283"/>
              <w:jc w:val="left"/>
              <w:rPr/>
            </w:pPr>
            <w:r>
              <w:rPr/>
              <w:t> </w:t>
            </w:r>
          </w:p>
        </w:tc>
      </w:tr>
      <w:tr>
        <w:trPr/>
        <w:tc>
          <w:tcPr>
            <w:tcW w:w="333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73" w:type="dxa"/>
            <w:tcBorders/>
            <w:shd w:fill="FFFFFF" w:val="clear"/>
            <w:vAlign w:val="center"/>
          </w:tcPr>
          <w:p>
            <w:pPr>
              <w:pStyle w:val="TableContents"/>
              <w:bidi w:val="0"/>
              <w:spacing w:before="0" w:after="283"/>
              <w:jc w:val="left"/>
              <w:rPr/>
            </w:pPr>
            <w:r>
              <w:rPr/>
              <w:t> </w:t>
            </w:r>
          </w:p>
        </w:tc>
        <w:tc>
          <w:tcPr>
            <w:tcW w:w="1060" w:type="dxa"/>
            <w:tcBorders/>
            <w:shd w:fill="FFFFFF" w:val="clear"/>
            <w:vAlign w:val="center"/>
          </w:tcPr>
          <w:p>
            <w:pPr>
              <w:pStyle w:val="TableContents"/>
              <w:bidi w:val="0"/>
              <w:spacing w:before="0" w:after="283"/>
              <w:jc w:val="left"/>
              <w:rPr/>
            </w:pPr>
            <w:r>
              <w:rPr/>
              <w:t> </w:t>
            </w:r>
          </w:p>
        </w:tc>
        <w:tc>
          <w:tcPr>
            <w:tcW w:w="175" w:type="dxa"/>
            <w:tcBorders/>
            <w:shd w:fill="FFFFFF" w:val="clear"/>
            <w:vAlign w:val="center"/>
          </w:tcPr>
          <w:p>
            <w:pPr>
              <w:pStyle w:val="TableContents"/>
              <w:bidi w:val="0"/>
              <w:spacing w:before="0" w:after="283"/>
              <w:jc w:val="left"/>
              <w:rPr/>
            </w:pPr>
            <w:r>
              <w:rPr/>
              <w:t> </w:t>
            </w:r>
          </w:p>
        </w:tc>
        <w:tc>
          <w:tcPr>
            <w:tcW w:w="131" w:type="dxa"/>
            <w:tcBorders/>
            <w:shd w:fill="FFFFFF" w:val="clear"/>
            <w:vAlign w:val="center"/>
          </w:tcPr>
          <w:p>
            <w:pPr>
              <w:pStyle w:val="TableContents"/>
              <w:bidi w:val="0"/>
              <w:spacing w:before="0" w:after="283"/>
              <w:jc w:val="left"/>
              <w:rPr/>
            </w:pPr>
            <w:r>
              <w:rPr/>
              <w:t> </w:t>
            </w:r>
          </w:p>
        </w:tc>
        <w:tc>
          <w:tcPr>
            <w:tcW w:w="273" w:type="dxa"/>
            <w:tcBorders/>
            <w:shd w:fill="FFFFFF" w:val="clear"/>
            <w:vAlign w:val="center"/>
          </w:tcPr>
          <w:p>
            <w:pPr>
              <w:pStyle w:val="TableContents"/>
              <w:bidi w:val="0"/>
              <w:spacing w:before="0" w:after="283"/>
              <w:jc w:val="left"/>
              <w:rPr/>
            </w:pPr>
            <w:r>
              <w:rPr/>
              <w:t> </w:t>
            </w:r>
          </w:p>
        </w:tc>
        <w:tc>
          <w:tcPr>
            <w:tcW w:w="10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49" w:type="dxa"/>
            <w:tcBorders/>
            <w:shd w:fill="FFFFFF" w:val="clear"/>
            <w:vAlign w:val="center"/>
          </w:tcPr>
          <w:p>
            <w:pPr>
              <w:pStyle w:val="TableContents"/>
              <w:bidi w:val="0"/>
              <w:spacing w:before="0" w:after="283"/>
              <w:jc w:val="left"/>
              <w:rPr/>
            </w:pPr>
            <w:r>
              <w:rPr/>
              <w:t> </w:t>
            </w:r>
          </w:p>
        </w:tc>
        <w:tc>
          <w:tcPr>
            <w:tcW w:w="968" w:type="dxa"/>
            <w:tcBorders/>
            <w:shd w:fill="FFFFFF" w:val="clear"/>
            <w:vAlign w:val="center"/>
          </w:tcPr>
          <w:p>
            <w:pPr>
              <w:pStyle w:val="TableContents"/>
              <w:bidi w:val="0"/>
              <w:spacing w:before="0" w:after="283"/>
              <w:jc w:val="left"/>
              <w:rPr/>
            </w:pPr>
            <w:r>
              <w:rPr/>
              <w:t> </w:t>
            </w:r>
          </w:p>
        </w:tc>
        <w:tc>
          <w:tcPr>
            <w:tcW w:w="119" w:type="dxa"/>
            <w:tcBorders/>
            <w:shd w:fill="FFFFFF" w:val="clear"/>
            <w:vAlign w:val="center"/>
          </w:tcPr>
          <w:p>
            <w:pPr>
              <w:pStyle w:val="TableContents"/>
              <w:bidi w:val="0"/>
              <w:spacing w:before="0" w:after="283"/>
              <w:jc w:val="left"/>
              <w:rPr/>
            </w:pPr>
            <w:r>
              <w:rPr/>
              <w:t> </w:t>
            </w:r>
          </w:p>
        </w:tc>
        <w:tc>
          <w:tcPr>
            <w:tcW w:w="119" w:type="dxa"/>
            <w:tcBorders/>
            <w:shd w:fill="FFFFFF" w:val="clear"/>
            <w:vAlign w:val="center"/>
          </w:tcPr>
          <w:p>
            <w:pPr>
              <w:pStyle w:val="TableContents"/>
              <w:bidi w:val="0"/>
              <w:spacing w:before="0" w:after="283"/>
              <w:jc w:val="left"/>
              <w:rPr/>
            </w:pPr>
            <w:r>
              <w:rPr/>
              <w:t> </w:t>
            </w:r>
          </w:p>
        </w:tc>
        <w:tc>
          <w:tcPr>
            <w:tcW w:w="249" w:type="dxa"/>
            <w:tcBorders/>
            <w:shd w:fill="FFFFFF" w:val="clear"/>
            <w:vAlign w:val="center"/>
          </w:tcPr>
          <w:p>
            <w:pPr>
              <w:pStyle w:val="TableContents"/>
              <w:bidi w:val="0"/>
              <w:spacing w:before="0" w:after="283"/>
              <w:jc w:val="left"/>
              <w:rPr/>
            </w:pPr>
            <w:r>
              <w:rPr/>
              <w:t> </w:t>
            </w:r>
          </w:p>
        </w:tc>
        <w:tc>
          <w:tcPr>
            <w:tcW w:w="1177"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r>
      <w:tr>
        <w:trPr/>
        <w:tc>
          <w:tcPr>
            <w:tcW w:w="3335" w:type="dxa"/>
            <w:tcBorders/>
            <w:shd w:fill="CCEE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Combined Total</w:t>
            </w:r>
          </w:p>
        </w:tc>
        <w:tc>
          <w:tcPr>
            <w:tcW w:w="60" w:type="dxa"/>
            <w:tcBorders/>
            <w:shd w:fill="CCEEFF" w:val="clear"/>
            <w:vAlign w:val="center"/>
          </w:tcPr>
          <w:p>
            <w:pPr>
              <w:pStyle w:val="TableContents"/>
              <w:bidi w:val="0"/>
              <w:spacing w:before="0" w:after="283"/>
              <w:ind w:left="0" w:right="0" w:hanging="0"/>
              <w:jc w:val="left"/>
              <w:rPr/>
            </w:pPr>
            <w:r>
              <w:rPr/>
              <w:t> </w:t>
            </w:r>
          </w:p>
        </w:tc>
        <w:tc>
          <w:tcPr>
            <w:tcW w:w="273"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60"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1,738</w:t>
            </w:r>
          </w:p>
        </w:tc>
        <w:tc>
          <w:tcPr>
            <w:tcW w:w="175" w:type="dxa"/>
            <w:tcBorders/>
            <w:shd w:fill="CCEEFF" w:val="clear"/>
            <w:vAlign w:val="center"/>
          </w:tcPr>
          <w:p>
            <w:pPr>
              <w:pStyle w:val="TableContents"/>
              <w:bidi w:val="0"/>
              <w:spacing w:before="0" w:after="283"/>
              <w:jc w:val="left"/>
              <w:rPr/>
            </w:pPr>
            <w:r>
              <w:rPr/>
              <w:t> </w:t>
            </w:r>
          </w:p>
        </w:tc>
        <w:tc>
          <w:tcPr>
            <w:tcW w:w="131" w:type="dxa"/>
            <w:tcBorders/>
            <w:shd w:fill="CCEEFF" w:val="clear"/>
            <w:vAlign w:val="center"/>
          </w:tcPr>
          <w:p>
            <w:pPr>
              <w:pStyle w:val="TableContents"/>
              <w:bidi w:val="0"/>
              <w:spacing w:before="0" w:after="283"/>
              <w:ind w:left="0" w:right="0" w:hanging="0"/>
              <w:jc w:val="left"/>
              <w:rPr/>
            </w:pPr>
            <w:r>
              <w:rPr/>
              <w:t> </w:t>
            </w:r>
          </w:p>
        </w:tc>
        <w:tc>
          <w:tcPr>
            <w:tcW w:w="273"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60"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4,957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49"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68"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5,959</w:t>
            </w:r>
          </w:p>
        </w:tc>
        <w:tc>
          <w:tcPr>
            <w:tcW w:w="119" w:type="dxa"/>
            <w:tcBorders/>
            <w:shd w:fill="CCEEFF" w:val="clear"/>
            <w:vAlign w:val="center"/>
          </w:tcPr>
          <w:p>
            <w:pPr>
              <w:pStyle w:val="TableContents"/>
              <w:bidi w:val="0"/>
              <w:spacing w:before="0" w:after="283"/>
              <w:jc w:val="left"/>
              <w:rPr/>
            </w:pPr>
            <w:r>
              <w:rPr/>
              <w:t> </w:t>
            </w:r>
          </w:p>
        </w:tc>
        <w:tc>
          <w:tcPr>
            <w:tcW w:w="119" w:type="dxa"/>
            <w:tcBorders/>
            <w:shd w:fill="CCEEFF" w:val="clear"/>
            <w:vAlign w:val="center"/>
          </w:tcPr>
          <w:p>
            <w:pPr>
              <w:pStyle w:val="TableContents"/>
              <w:bidi w:val="0"/>
              <w:spacing w:before="0" w:after="283"/>
              <w:ind w:left="0" w:right="0" w:hanging="0"/>
              <w:jc w:val="left"/>
              <w:rPr/>
            </w:pPr>
            <w:r>
              <w:rPr/>
              <w:t> </w:t>
            </w:r>
          </w:p>
        </w:tc>
        <w:tc>
          <w:tcPr>
            <w:tcW w:w="249"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177"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16,394</w:t>
            </w:r>
          </w:p>
        </w:tc>
        <w:tc>
          <w:tcPr>
            <w:tcW w:w="6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 w:hAnsi="Times New Roman"/>
          <w:i/>
          <w:caps w:val="false"/>
          <w:smallCaps w:val="false"/>
          <w:sz w:val="20"/>
          <w:u w:val="single"/>
        </w:rPr>
      </w:pPr>
      <w:r>
        <w:rPr>
          <w:rFonts w:ascii="Times New Roman" w:hAnsi="Times New Roman"/>
          <w:i/>
          <w:caps w:val="false"/>
          <w:smallCaps w:val="false"/>
          <w:sz w:val="20"/>
          <w:u w:val="single"/>
        </w:rPr>
        <w:t>Significant concentrations of credit risk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caps w:val="false"/>
          <w:smallCaps w:val="false"/>
          <w:sz w:val="20"/>
        </w:rPr>
        <w:t xml:space="preserve">The Company has exposure to credit risk in the event of non-payment of oil and natural gas receivables by purchasers of its operated oil and natural gas properties. The following table presents the purchasers that accounted for </w:t>
      </w:r>
      <w:r>
        <w:rPr>
          <w:rStyle w:val="Emphasis"/>
          <w:rFonts w:ascii="Times New Roman" w:hAnsi="Times New Roman"/>
          <w:caps w:val="false"/>
          <w:smallCaps w:val="false"/>
          <w:sz w:val="20"/>
        </w:rPr>
        <w:t>10%</w:t>
      </w:r>
      <w:r>
        <w:rPr>
          <w:rFonts w:ascii="Times New Roman" w:hAnsi="Times New Roman"/>
          <w:caps w:val="false"/>
          <w:smallCaps w:val="false"/>
          <w:sz w:val="20"/>
        </w:rPr>
        <w:t xml:space="preserve"> or more of the Company’s total oil and natural gas revenue for at least </w:t>
      </w:r>
      <w:r>
        <w:rPr>
          <w:rStyle w:val="Emphasis"/>
          <w:rFonts w:ascii="Times New Roman" w:hAnsi="Times New Roman"/>
          <w:caps w:val="false"/>
          <w:smallCaps w:val="false"/>
          <w:sz w:val="20"/>
        </w:rPr>
        <w:t>one</w:t>
      </w:r>
      <w:r>
        <w:rPr>
          <w:rFonts w:ascii="Times New Roman" w:hAnsi="Times New Roman"/>
          <w:caps w:val="false"/>
          <w:smallCaps w:val="false"/>
          <w:sz w:val="20"/>
        </w:rPr>
        <w:t xml:space="preserve"> of the periods presented:</w:t>
      </w:r>
    </w:p>
    <w:p>
      <w:pPr>
        <w:pStyle w:val="TextBody"/>
        <w:bidi w:val="0"/>
        <w:spacing w:before="0" w:after="0"/>
        <w:ind w:left="0" w:right="0" w:hanging="0"/>
        <w:jc w:val="left"/>
        <w:rPr>
          <w:caps w:val="false"/>
          <w:smallCaps w:val="false"/>
        </w:rPr>
      </w:pPr>
      <w:r>
        <w:rPr>
          <w:caps w:val="false"/>
          <w:smallCaps w:val="false"/>
        </w:rPr>
        <w:t> </w:t>
      </w:r>
    </w:p>
    <w:tbl>
      <w:tblPr>
        <w:tblW w:w="2922" w:type="dxa"/>
        <w:jc w:val="left"/>
        <w:tblInd w:w="0" w:type="dxa"/>
        <w:tblLayout w:type="fixed"/>
        <w:tblCellMar>
          <w:top w:w="0" w:type="dxa"/>
          <w:left w:w="0" w:type="dxa"/>
          <w:bottom w:w="0" w:type="dxa"/>
          <w:right w:w="0" w:type="dxa"/>
        </w:tblCellMar>
      </w:tblPr>
      <w:tblGrid>
        <w:gridCol w:w="995"/>
        <w:gridCol w:w="60"/>
        <w:gridCol w:w="121"/>
        <w:gridCol w:w="465"/>
        <w:gridCol w:w="374"/>
        <w:gridCol w:w="121"/>
        <w:gridCol w:w="121"/>
        <w:gridCol w:w="465"/>
        <w:gridCol w:w="200"/>
      </w:tblGrid>
      <w:tr>
        <w:trPr/>
        <w:tc>
          <w:tcPr>
            <w:tcW w:w="9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667" w:type="dxa"/>
            <w:gridSpan w:val="6"/>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Nine Months Ended</w:t>
            </w:r>
          </w:p>
        </w:tc>
        <w:tc>
          <w:tcPr>
            <w:tcW w:w="200" w:type="dxa"/>
            <w:tcBorders/>
            <w:shd w:fill="FFFFFF" w:val="clear"/>
            <w:vAlign w:val="center"/>
          </w:tcPr>
          <w:p>
            <w:pPr>
              <w:pStyle w:val="TableContents"/>
              <w:bidi w:val="0"/>
              <w:spacing w:before="0" w:after="283"/>
              <w:jc w:val="left"/>
              <w:rPr/>
            </w:pPr>
            <w:r>
              <w:rPr/>
              <w:t> </w:t>
            </w:r>
          </w:p>
        </w:tc>
      </w:tr>
      <w:tr>
        <w:trPr/>
        <w:tc>
          <w:tcPr>
            <w:tcW w:w="9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667"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September 30,</w:t>
            </w:r>
          </w:p>
        </w:tc>
        <w:tc>
          <w:tcPr>
            <w:tcW w:w="200" w:type="dxa"/>
            <w:tcBorders/>
            <w:shd w:fill="FFFFFF" w:val="clear"/>
            <w:vAlign w:val="center"/>
          </w:tcPr>
          <w:p>
            <w:pPr>
              <w:pStyle w:val="TableContents"/>
              <w:bidi w:val="0"/>
              <w:spacing w:before="0" w:after="283"/>
              <w:jc w:val="left"/>
              <w:rPr/>
            </w:pPr>
            <w:r>
              <w:rPr/>
              <w:t> </w:t>
            </w:r>
          </w:p>
        </w:tc>
      </w:tr>
      <w:tr>
        <w:trPr/>
        <w:tc>
          <w:tcPr>
            <w:tcW w:w="9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586"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2025</w:t>
            </w:r>
          </w:p>
        </w:tc>
        <w:tc>
          <w:tcPr>
            <w:tcW w:w="374" w:type="dxa"/>
            <w:tcBorders/>
            <w:shd w:fill="FFFFFF" w:val="clear"/>
            <w:vAlign w:val="center"/>
          </w:tcPr>
          <w:p>
            <w:pPr>
              <w:pStyle w:val="TableContents"/>
              <w:bidi w:val="0"/>
              <w:spacing w:before="0" w:after="283"/>
              <w:jc w:val="left"/>
              <w:rPr/>
            </w:pPr>
            <w:r>
              <w:rPr/>
              <w:t> </w:t>
            </w:r>
          </w:p>
        </w:tc>
        <w:tc>
          <w:tcPr>
            <w:tcW w:w="121" w:type="dxa"/>
            <w:tcBorders/>
            <w:shd w:fill="FFFFFF" w:val="clear"/>
            <w:vAlign w:val="center"/>
          </w:tcPr>
          <w:p>
            <w:pPr>
              <w:pStyle w:val="TableContents"/>
              <w:bidi w:val="0"/>
              <w:spacing w:before="0" w:after="283"/>
              <w:ind w:left="0" w:right="0" w:hanging="0"/>
              <w:jc w:val="left"/>
              <w:rPr/>
            </w:pPr>
            <w:r>
              <w:rPr/>
              <w:t> </w:t>
            </w:r>
          </w:p>
        </w:tc>
        <w:tc>
          <w:tcPr>
            <w:tcW w:w="586"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2024</w:t>
            </w:r>
          </w:p>
        </w:tc>
        <w:tc>
          <w:tcPr>
            <w:tcW w:w="200" w:type="dxa"/>
            <w:tcBorders/>
            <w:shd w:fill="FFFFFF" w:val="clear"/>
            <w:vAlign w:val="center"/>
          </w:tcPr>
          <w:p>
            <w:pPr>
              <w:pStyle w:val="TableContents"/>
              <w:bidi w:val="0"/>
              <w:spacing w:before="0" w:after="283"/>
              <w:jc w:val="left"/>
              <w:rPr/>
            </w:pPr>
            <w:r>
              <w:rPr/>
              <w:t> </w:t>
            </w:r>
          </w:p>
        </w:tc>
      </w:tr>
      <w:tr>
        <w:trPr/>
        <w:tc>
          <w:tcPr>
            <w:tcW w:w="99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Purchaser A</w:t>
            </w:r>
          </w:p>
        </w:tc>
        <w:tc>
          <w:tcPr>
            <w:tcW w:w="60" w:type="dxa"/>
            <w:tcBorders/>
            <w:shd w:fill="CCEEFF" w:val="clear"/>
            <w:vAlign w:val="center"/>
          </w:tcPr>
          <w:p>
            <w:pPr>
              <w:pStyle w:val="TableContents"/>
              <w:bidi w:val="0"/>
              <w:spacing w:before="0" w:after="283"/>
              <w:jc w:val="left"/>
              <w:rPr/>
            </w:pPr>
            <w:r>
              <w:rPr/>
              <w:t> </w:t>
            </w:r>
          </w:p>
        </w:tc>
        <w:tc>
          <w:tcPr>
            <w:tcW w:w="121" w:type="dxa"/>
            <w:tcBorders/>
            <w:shd w:fill="CCEEFF" w:val="clear"/>
            <w:vAlign w:val="center"/>
          </w:tcPr>
          <w:p>
            <w:pPr>
              <w:pStyle w:val="TableContents"/>
              <w:bidi w:val="0"/>
              <w:spacing w:before="0" w:after="283"/>
              <w:ind w:left="0" w:right="0" w:hanging="0"/>
              <w:jc w:val="left"/>
              <w:rPr/>
            </w:pPr>
            <w:r>
              <w:rPr/>
              <w:t> </w:t>
            </w:r>
          </w:p>
        </w:tc>
        <w:tc>
          <w:tcPr>
            <w:tcW w:w="46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51</w:t>
            </w:r>
          </w:p>
        </w:tc>
        <w:tc>
          <w:tcPr>
            <w:tcW w:w="374"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21" w:type="dxa"/>
            <w:tcBorders/>
            <w:shd w:fill="CCEEFF" w:val="clear"/>
            <w:vAlign w:val="center"/>
          </w:tcPr>
          <w:p>
            <w:pPr>
              <w:pStyle w:val="TableContents"/>
              <w:bidi w:val="0"/>
              <w:spacing w:before="0" w:after="283"/>
              <w:jc w:val="left"/>
              <w:rPr/>
            </w:pPr>
            <w:r>
              <w:rPr/>
              <w:t> </w:t>
            </w:r>
          </w:p>
        </w:tc>
        <w:tc>
          <w:tcPr>
            <w:tcW w:w="121" w:type="dxa"/>
            <w:tcBorders/>
            <w:shd w:fill="CCEEFF" w:val="clear"/>
            <w:vAlign w:val="center"/>
          </w:tcPr>
          <w:p>
            <w:pPr>
              <w:pStyle w:val="TableContents"/>
              <w:bidi w:val="0"/>
              <w:spacing w:before="0" w:after="283"/>
              <w:ind w:left="0" w:right="0" w:hanging="0"/>
              <w:jc w:val="left"/>
              <w:rPr/>
            </w:pPr>
            <w:r>
              <w:rPr/>
              <w:t> </w:t>
            </w:r>
          </w:p>
        </w:tc>
        <w:tc>
          <w:tcPr>
            <w:tcW w:w="46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26</w:t>
            </w:r>
          </w:p>
        </w:tc>
        <w:tc>
          <w:tcPr>
            <w:tcW w:w="20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99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Purchaser B</w:t>
            </w:r>
          </w:p>
        </w:tc>
        <w:tc>
          <w:tcPr>
            <w:tcW w:w="60" w:type="dxa"/>
            <w:tcBorders/>
            <w:shd w:fill="FFFFFF" w:val="clear"/>
            <w:vAlign w:val="center"/>
          </w:tcPr>
          <w:p>
            <w:pPr>
              <w:pStyle w:val="TableContents"/>
              <w:bidi w:val="0"/>
              <w:spacing w:before="0" w:after="283"/>
              <w:jc w:val="left"/>
              <w:rPr/>
            </w:pPr>
            <w:r>
              <w:rPr/>
              <w:t> </w:t>
            </w:r>
          </w:p>
        </w:tc>
        <w:tc>
          <w:tcPr>
            <w:tcW w:w="121" w:type="dxa"/>
            <w:tcBorders/>
            <w:shd w:fill="FFFFFF" w:val="clear"/>
            <w:vAlign w:val="center"/>
          </w:tcPr>
          <w:p>
            <w:pPr>
              <w:pStyle w:val="TableContents"/>
              <w:bidi w:val="0"/>
              <w:spacing w:before="0" w:after="283"/>
              <w:ind w:left="0" w:right="0" w:hanging="0"/>
              <w:jc w:val="left"/>
              <w:rPr/>
            </w:pPr>
            <w:r>
              <w:rPr/>
              <w:t> </w:t>
            </w:r>
          </w:p>
        </w:tc>
        <w:tc>
          <w:tcPr>
            <w:tcW w:w="46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17</w:t>
            </w:r>
          </w:p>
        </w:tc>
        <w:tc>
          <w:tcPr>
            <w:tcW w:w="374"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21" w:type="dxa"/>
            <w:tcBorders/>
            <w:shd w:fill="FFFFFF" w:val="clear"/>
            <w:vAlign w:val="center"/>
          </w:tcPr>
          <w:p>
            <w:pPr>
              <w:pStyle w:val="TableContents"/>
              <w:bidi w:val="0"/>
              <w:spacing w:before="0" w:after="283"/>
              <w:jc w:val="left"/>
              <w:rPr/>
            </w:pPr>
            <w:r>
              <w:rPr/>
              <w:t> </w:t>
            </w:r>
          </w:p>
        </w:tc>
        <w:tc>
          <w:tcPr>
            <w:tcW w:w="121" w:type="dxa"/>
            <w:tcBorders/>
            <w:shd w:fill="FFFFFF" w:val="clear"/>
            <w:vAlign w:val="center"/>
          </w:tcPr>
          <w:p>
            <w:pPr>
              <w:pStyle w:val="TableContents"/>
              <w:bidi w:val="0"/>
              <w:spacing w:before="0" w:after="283"/>
              <w:ind w:left="0" w:right="0" w:hanging="0"/>
              <w:jc w:val="left"/>
              <w:rPr/>
            </w:pPr>
            <w:r>
              <w:rPr/>
              <w:t> </w:t>
            </w:r>
          </w:p>
        </w:tc>
        <w:tc>
          <w:tcPr>
            <w:tcW w:w="46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26</w:t>
            </w:r>
          </w:p>
        </w:tc>
        <w:tc>
          <w:tcPr>
            <w:tcW w:w="20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99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Purchaser C</w:t>
            </w:r>
          </w:p>
        </w:tc>
        <w:tc>
          <w:tcPr>
            <w:tcW w:w="60" w:type="dxa"/>
            <w:tcBorders/>
            <w:shd w:fill="CCEEFF" w:val="clear"/>
            <w:vAlign w:val="center"/>
          </w:tcPr>
          <w:p>
            <w:pPr>
              <w:pStyle w:val="TableContents"/>
              <w:bidi w:val="0"/>
              <w:spacing w:before="0" w:after="283"/>
              <w:jc w:val="left"/>
              <w:rPr/>
            </w:pPr>
            <w:r>
              <w:rPr/>
              <w:t> </w:t>
            </w:r>
          </w:p>
        </w:tc>
        <w:tc>
          <w:tcPr>
            <w:tcW w:w="121" w:type="dxa"/>
            <w:tcBorders/>
            <w:shd w:fill="CCEEFF" w:val="clear"/>
            <w:vAlign w:val="center"/>
          </w:tcPr>
          <w:p>
            <w:pPr>
              <w:pStyle w:val="TableContents"/>
              <w:bidi w:val="0"/>
              <w:spacing w:before="0" w:after="283"/>
              <w:jc w:val="left"/>
              <w:rPr/>
            </w:pPr>
            <w:r>
              <w:rPr/>
              <w:t> </w:t>
            </w:r>
          </w:p>
        </w:tc>
        <w:tc>
          <w:tcPr>
            <w:tcW w:w="46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6</w:t>
            </w:r>
          </w:p>
        </w:tc>
        <w:tc>
          <w:tcPr>
            <w:tcW w:w="374"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21" w:type="dxa"/>
            <w:tcBorders/>
            <w:shd w:fill="CCEEFF" w:val="clear"/>
            <w:vAlign w:val="center"/>
          </w:tcPr>
          <w:p>
            <w:pPr>
              <w:pStyle w:val="TableContents"/>
              <w:bidi w:val="0"/>
              <w:spacing w:before="0" w:after="283"/>
              <w:jc w:val="left"/>
              <w:rPr/>
            </w:pPr>
            <w:r>
              <w:rPr/>
              <w:t> </w:t>
            </w:r>
          </w:p>
        </w:tc>
        <w:tc>
          <w:tcPr>
            <w:tcW w:w="121" w:type="dxa"/>
            <w:tcBorders/>
            <w:shd w:fill="CCEEFF" w:val="clear"/>
            <w:vAlign w:val="center"/>
          </w:tcPr>
          <w:p>
            <w:pPr>
              <w:pStyle w:val="TableContents"/>
              <w:bidi w:val="0"/>
              <w:spacing w:before="0" w:after="283"/>
              <w:jc w:val="left"/>
              <w:rPr/>
            </w:pPr>
            <w:r>
              <w:rPr/>
              <w:t> </w:t>
            </w:r>
          </w:p>
        </w:tc>
        <w:tc>
          <w:tcPr>
            <w:tcW w:w="46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w:t>
            </w:r>
          </w:p>
        </w:tc>
        <w:tc>
          <w:tcPr>
            <w:tcW w:w="20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283"/>
        <w:jc w:val="left"/>
        <w:rPr/>
      </w:pPr>
      <w:r>
        <w:rPr/>
        <w:t xml:space="preserve">  </w:t>
      </w:r>
    </w:p>
    <w:p>
      <w:pPr>
        <w:pStyle w:val="TextBody"/>
        <w:bidi w:val="0"/>
        <w:spacing w:before="0" w:after="0"/>
        <w:ind w:left="0" w:right="0" w:hanging="0"/>
        <w:jc w:val="both"/>
        <w:rPr/>
      </w:pPr>
      <w:r>
        <w:rPr>
          <w:rStyle w:val="Emphasis"/>
          <w:rFonts w:ascii="Times New Roman" w:hAnsi="Times New Roman"/>
          <w:b/>
          <w:caps w:val="false"/>
          <w:smallCaps w:val="false"/>
          <w:sz w:val="20"/>
        </w:rPr>
        <w:t>4.</w:t>
      </w:r>
      <w:r>
        <w:rPr>
          <w:rFonts w:ascii="Times New Roman" w:hAnsi="Times New Roman"/>
          <w:b/>
          <w:caps w:val="false"/>
          <w:smallCaps w:val="false"/>
          <w:sz w:val="20"/>
        </w:rPr>
        <w:t xml:space="preserve"> LEASES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caps w:val="false"/>
          <w:smallCaps w:val="false"/>
          <w:sz w:val="20"/>
        </w:rPr>
        <w:t>The Company’s operating lease right-of-use asset and lease obligation are recognized at their discounted present value under the following captions in the Condensed Consolidated Balance Sheets as of </w:t>
      </w:r>
      <w:r>
        <w:rPr>
          <w:rStyle w:val="Emphasis"/>
          <w:rFonts w:ascii="Times New Roman" w:hAnsi="Times New Roman"/>
          <w:caps w:val="false"/>
          <w:smallCaps w:val="false"/>
          <w:sz w:val="20"/>
        </w:rPr>
        <w:t xml:space="preserve"> September 30, 2025</w:t>
      </w:r>
      <w:r>
        <w:rPr>
          <w:rFonts w:ascii="Times New Roman" w:hAnsi="Times New Roman"/>
          <w:caps w:val="false"/>
          <w:smallCaps w:val="false"/>
          <w:sz w:val="20"/>
        </w:rPr>
        <w:t xml:space="preserve"> and </w:t>
      </w:r>
      <w:r>
        <w:rPr>
          <w:rStyle w:val="Emphasis"/>
          <w:rFonts w:ascii="Times New Roman" w:hAnsi="Times New Roman"/>
          <w:caps w:val="false"/>
          <w:smallCaps w:val="false"/>
          <w:sz w:val="20"/>
        </w:rPr>
        <w:t>December 31, 2024</w:t>
      </w:r>
      <w:r>
        <w:rPr>
          <w:rFonts w:ascii="Times New Roman" w:hAnsi="Times New Roman"/>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tbl>
      <w:tblPr>
        <w:tblW w:w="5728" w:type="dxa"/>
        <w:jc w:val="left"/>
        <w:tblInd w:w="0" w:type="dxa"/>
        <w:tblLayout w:type="fixed"/>
        <w:tblCellMar>
          <w:top w:w="0" w:type="dxa"/>
          <w:left w:w="0" w:type="dxa"/>
          <w:bottom w:w="0" w:type="dxa"/>
          <w:right w:w="0" w:type="dxa"/>
        </w:tblCellMar>
      </w:tblPr>
      <w:tblGrid>
        <w:gridCol w:w="2225"/>
        <w:gridCol w:w="60"/>
        <w:gridCol w:w="448"/>
        <w:gridCol w:w="1206"/>
        <w:gridCol w:w="60"/>
        <w:gridCol w:w="60"/>
        <w:gridCol w:w="436"/>
        <w:gridCol w:w="1173"/>
        <w:gridCol w:w="60"/>
      </w:tblGrid>
      <w:tr>
        <w:trPr/>
        <w:tc>
          <w:tcPr>
            <w:tcW w:w="222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654"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September 30, 2025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609"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December 31, 2024</w:t>
            </w:r>
          </w:p>
        </w:tc>
        <w:tc>
          <w:tcPr>
            <w:tcW w:w="60" w:type="dxa"/>
            <w:tcBorders/>
            <w:shd w:fill="FFFFFF" w:val="clear"/>
            <w:vAlign w:val="center"/>
          </w:tcPr>
          <w:p>
            <w:pPr>
              <w:pStyle w:val="TableContents"/>
              <w:bidi w:val="0"/>
              <w:spacing w:before="0" w:after="283"/>
              <w:jc w:val="left"/>
              <w:rPr/>
            </w:pPr>
            <w:r>
              <w:rPr/>
              <w:t> </w:t>
            </w:r>
          </w:p>
        </w:tc>
      </w:tr>
      <w:tr>
        <w:trPr/>
        <w:tc>
          <w:tcPr>
            <w:tcW w:w="222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3383" w:type="dxa"/>
            <w:gridSpan w:val="6"/>
            <w:tcBorders/>
            <w:shd w:fill="FFFFFF" w:val="cle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(in thousands)</w:t>
            </w:r>
          </w:p>
        </w:tc>
        <w:tc>
          <w:tcPr>
            <w:tcW w:w="60" w:type="dxa"/>
            <w:tcBorders/>
            <w:shd w:fill="FFFFFF" w:val="clear"/>
            <w:vAlign w:val="center"/>
          </w:tcPr>
          <w:p>
            <w:pPr>
              <w:pStyle w:val="TableContents"/>
              <w:bidi w:val="0"/>
              <w:spacing w:before="0" w:after="283"/>
              <w:jc w:val="left"/>
              <w:rPr/>
            </w:pPr>
            <w:r>
              <w:rPr/>
              <w:t> </w:t>
            </w:r>
          </w:p>
        </w:tc>
      </w:tr>
      <w:tr>
        <w:trPr/>
        <w:tc>
          <w:tcPr>
            <w:tcW w:w="2225" w:type="dxa"/>
            <w:tcBorders/>
            <w:shd w:fill="CCEEFF" w:val="clear"/>
            <w:vAlign w:val="center"/>
          </w:tcPr>
          <w:p>
            <w:pPr>
              <w:pStyle w:val="TableContents"/>
              <w:bidi w:val="0"/>
              <w:spacing w:before="0" w:after="0"/>
              <w:ind w:left="180" w:right="180" w:hanging="180"/>
              <w:jc w:val="left"/>
              <w:rPr>
                <w:rFonts w:ascii="Times New Roman" w:hAnsi="Times New Roman"/>
                <w:caps w:val="false"/>
                <w:smallCaps w:val="false"/>
                <w:sz w:val="20"/>
              </w:rPr>
            </w:pPr>
            <w:r>
              <w:rPr>
                <w:rFonts w:ascii="Times New Roman" w:hAnsi="Times New Roman"/>
                <w:caps w:val="false"/>
                <w:smallCaps w:val="false"/>
                <w:sz w:val="20"/>
              </w:rPr>
              <w:t>Right-of-use asset</w:t>
            </w:r>
          </w:p>
        </w:tc>
        <w:tc>
          <w:tcPr>
            <w:tcW w:w="60" w:type="dxa"/>
            <w:tcBorders/>
            <w:shd w:fill="CCEEFF" w:val="clear"/>
            <w:vAlign w:val="center"/>
          </w:tcPr>
          <w:p>
            <w:pPr>
              <w:pStyle w:val="TableContents"/>
              <w:bidi w:val="0"/>
              <w:spacing w:before="0" w:after="283"/>
              <w:ind w:left="0" w:right="0" w:hanging="0"/>
              <w:jc w:val="left"/>
              <w:rPr/>
            </w:pPr>
            <w:r>
              <w:rPr/>
              <w:t> </w:t>
            </w:r>
          </w:p>
        </w:tc>
        <w:tc>
          <w:tcPr>
            <w:tcW w:w="448"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1206"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436"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1173"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528</w:t>
            </w:r>
          </w:p>
        </w:tc>
        <w:tc>
          <w:tcPr>
            <w:tcW w:w="60" w:type="dxa"/>
            <w:tcBorders/>
            <w:shd w:fill="CCEEFF" w:val="clear"/>
            <w:vAlign w:val="center"/>
          </w:tcPr>
          <w:p>
            <w:pPr>
              <w:pStyle w:val="TableContents"/>
              <w:bidi w:val="0"/>
              <w:spacing w:before="0" w:after="283"/>
              <w:jc w:val="left"/>
              <w:rPr/>
            </w:pPr>
            <w:r>
              <w:rPr/>
              <w:t> </w:t>
            </w:r>
          </w:p>
        </w:tc>
      </w:tr>
      <w:tr>
        <w:trPr/>
        <w:tc>
          <w:tcPr>
            <w:tcW w:w="2225"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Lease liability</w:t>
            </w:r>
          </w:p>
        </w:tc>
        <w:tc>
          <w:tcPr>
            <w:tcW w:w="60" w:type="dxa"/>
            <w:tcBorders/>
            <w:shd w:fill="FFFFFF" w:val="clear"/>
            <w:vAlign w:val="center"/>
          </w:tcPr>
          <w:p>
            <w:pPr>
              <w:pStyle w:val="TableContents"/>
              <w:bidi w:val="0"/>
              <w:spacing w:before="0" w:after="283"/>
              <w:jc w:val="left"/>
              <w:rPr/>
            </w:pPr>
            <w:r>
              <w:rPr/>
              <w:t> </w:t>
            </w:r>
          </w:p>
        </w:tc>
        <w:tc>
          <w:tcPr>
            <w:tcW w:w="448" w:type="dxa"/>
            <w:tcBorders/>
            <w:shd w:fill="FFFFFF" w:val="clear"/>
            <w:vAlign w:val="center"/>
          </w:tcPr>
          <w:p>
            <w:pPr>
              <w:pStyle w:val="TableContents"/>
              <w:bidi w:val="0"/>
              <w:spacing w:before="0" w:after="283"/>
              <w:jc w:val="left"/>
              <w:rPr/>
            </w:pPr>
            <w:r>
              <w:rPr/>
              <w:t> </w:t>
            </w:r>
          </w:p>
        </w:tc>
        <w:tc>
          <w:tcPr>
            <w:tcW w:w="1206"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left"/>
              <w:rPr/>
            </w:pPr>
            <w:r>
              <w:rPr/>
              <w:t> </w:t>
            </w:r>
          </w:p>
        </w:tc>
        <w:tc>
          <w:tcPr>
            <w:tcW w:w="1173"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r>
      <w:tr>
        <w:trPr/>
        <w:tc>
          <w:tcPr>
            <w:tcW w:w="2225" w:type="dxa"/>
            <w:tcBorders/>
            <w:shd w:fill="CCEE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Current lease obligation</w:t>
            </w:r>
          </w:p>
        </w:tc>
        <w:tc>
          <w:tcPr>
            <w:tcW w:w="60" w:type="dxa"/>
            <w:tcBorders/>
            <w:shd w:fill="CCEEFF" w:val="clear"/>
            <w:vAlign w:val="center"/>
          </w:tcPr>
          <w:p>
            <w:pPr>
              <w:pStyle w:val="TableContents"/>
              <w:bidi w:val="0"/>
              <w:spacing w:before="0" w:after="283"/>
              <w:ind w:left="0" w:right="0" w:hanging="0"/>
              <w:jc w:val="left"/>
              <w:rPr/>
            </w:pPr>
            <w:r>
              <w:rPr/>
              <w:t> </w:t>
            </w:r>
          </w:p>
        </w:tc>
        <w:tc>
          <w:tcPr>
            <w:tcW w:w="448"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1206"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206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436"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1173"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196</w:t>
            </w:r>
          </w:p>
        </w:tc>
        <w:tc>
          <w:tcPr>
            <w:tcW w:w="60" w:type="dxa"/>
            <w:tcBorders/>
            <w:shd w:fill="CCEEFF" w:val="clear"/>
            <w:vAlign w:val="center"/>
          </w:tcPr>
          <w:p>
            <w:pPr>
              <w:pStyle w:val="TableContents"/>
              <w:bidi w:val="0"/>
              <w:spacing w:before="0" w:after="283"/>
              <w:jc w:val="left"/>
              <w:rPr/>
            </w:pPr>
            <w:r>
              <w:rPr/>
              <w:t> </w:t>
            </w:r>
          </w:p>
        </w:tc>
      </w:tr>
      <w:tr>
        <w:trPr/>
        <w:tc>
          <w:tcPr>
            <w:tcW w:w="2225" w:type="dxa"/>
            <w:tcBorders/>
            <w:shd w:fill="FFFF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Long-term lease obligation</w:t>
            </w:r>
          </w:p>
        </w:tc>
        <w:tc>
          <w:tcPr>
            <w:tcW w:w="60" w:type="dxa"/>
            <w:tcBorders/>
            <w:shd w:fill="FFFFFF" w:val="clear"/>
            <w:vAlign w:val="center"/>
          </w:tcPr>
          <w:p>
            <w:pPr>
              <w:pStyle w:val="TableContents"/>
              <w:bidi w:val="0"/>
              <w:spacing w:before="0" w:after="283"/>
              <w:jc w:val="left"/>
              <w:rPr/>
            </w:pPr>
            <w:r>
              <w:rPr/>
              <w:t> </w:t>
            </w:r>
          </w:p>
        </w:tc>
        <w:tc>
          <w:tcPr>
            <w:tcW w:w="448"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206"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259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36"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173"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415</w:t>
            </w:r>
          </w:p>
        </w:tc>
        <w:tc>
          <w:tcPr>
            <w:tcW w:w="60" w:type="dxa"/>
            <w:tcBorders/>
            <w:shd w:fill="FFFFFF" w:val="clear"/>
            <w:vAlign w:val="center"/>
          </w:tcPr>
          <w:p>
            <w:pPr>
              <w:pStyle w:val="TableContents"/>
              <w:bidi w:val="0"/>
              <w:spacing w:before="0" w:after="283"/>
              <w:jc w:val="left"/>
              <w:rPr/>
            </w:pPr>
            <w:r>
              <w:rPr/>
              <w:t> </w:t>
            </w:r>
          </w:p>
        </w:tc>
      </w:tr>
      <w:tr>
        <w:trPr/>
        <w:tc>
          <w:tcPr>
            <w:tcW w:w="2225"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Total lease liabilities</w:t>
            </w:r>
          </w:p>
        </w:tc>
        <w:tc>
          <w:tcPr>
            <w:tcW w:w="60" w:type="dxa"/>
            <w:tcBorders/>
            <w:shd w:fill="CCEEFF" w:val="clear"/>
            <w:vAlign w:val="center"/>
          </w:tcPr>
          <w:p>
            <w:pPr>
              <w:pStyle w:val="TableContents"/>
              <w:bidi w:val="0"/>
              <w:spacing w:before="0" w:after="283"/>
              <w:ind w:left="0" w:right="0" w:hanging="0"/>
              <w:jc w:val="left"/>
              <w:rPr/>
            </w:pPr>
            <w:r>
              <w:rPr/>
              <w:t> </w:t>
            </w:r>
          </w:p>
        </w:tc>
        <w:tc>
          <w:tcPr>
            <w:tcW w:w="448"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c>
          <w:tcPr>
            <w:tcW w:w="1206" w:type="dxa"/>
            <w:tcBorders>
              <w:bottom w:val="double" w:sz="6" w:space="0" w:color="000000"/>
            </w:tcBorders>
            <w:shd w:fill="CCEEFF" w:val="clear"/>
            <w:tcMar>
              <w:bottom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465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43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c>
          <w:tcPr>
            <w:tcW w:w="1173" w:type="dxa"/>
            <w:tcBorders>
              <w:bottom w:val="double" w:sz="6" w:space="0" w:color="000000"/>
            </w:tcBorders>
            <w:shd w:fill="CCEEFF" w:val="clear"/>
            <w:tcMar>
              <w:bottom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611</w:t>
            </w:r>
          </w:p>
        </w:tc>
        <w:tc>
          <w:tcPr>
            <w:tcW w:w="6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caps w:val="false"/>
          <w:smallCaps w:val="false"/>
          <w:sz w:val="20"/>
        </w:rPr>
        <w:t xml:space="preserve">The Company recognizes lease expense on a straight-line basis excluding short-term and variable lease payments, which are recognized as incurred. Short-term lease cost represents payments for oilfield equipment with original lease terms less than </w:t>
      </w:r>
      <w:r>
        <w:rPr>
          <w:rStyle w:val="Emphasis"/>
          <w:rFonts w:ascii="Times New Roman" w:hAnsi="Times New Roman"/>
          <w:caps w:val="false"/>
          <w:smallCaps w:val="false"/>
          <w:sz w:val="20"/>
        </w:rPr>
        <w:t>one</w:t>
      </w:r>
      <w:r>
        <w:rPr>
          <w:rFonts w:ascii="Times New Roman" w:hAnsi="Times New Roman"/>
          <w:caps w:val="false"/>
          <w:smallCaps w:val="false"/>
          <w:sz w:val="20"/>
        </w:rPr>
        <w:t xml:space="preserve"> year. The following are the amounts recognized as components of lease cost for the </w:t>
      </w:r>
      <w:r>
        <w:rPr>
          <w:rStyle w:val="Emphasis"/>
          <w:rFonts w:ascii="Times New Roman" w:hAnsi="Times New Roman"/>
          <w:caps w:val="false"/>
          <w:smallCaps w:val="false"/>
          <w:sz w:val="20"/>
        </w:rPr>
        <w:t>three</w:t>
      </w:r>
      <w:r>
        <w:rPr>
          <w:rFonts w:ascii="Times New Roman" w:hAnsi="Times New Roman"/>
          <w:caps w:val="false"/>
          <w:smallCaps w:val="false"/>
          <w:sz w:val="20"/>
        </w:rPr>
        <w:t xml:space="preserve"> and </w:t>
      </w:r>
      <w:r>
        <w:rPr>
          <w:rStyle w:val="Emphasis"/>
          <w:rFonts w:ascii="Times New Roman" w:hAnsi="Times New Roman"/>
          <w:caps w:val="false"/>
          <w:smallCaps w:val="false"/>
          <w:sz w:val="20"/>
        </w:rPr>
        <w:t>nine</w:t>
      </w:r>
      <w:r>
        <w:rPr>
          <w:rFonts w:ascii="Times New Roman" w:hAnsi="Times New Roman"/>
          <w:caps w:val="false"/>
          <w:smallCaps w:val="false"/>
          <w:sz w:val="20"/>
        </w:rPr>
        <w:t xml:space="preserve"> months ended </w:t>
      </w:r>
      <w:r>
        <w:rPr>
          <w:rStyle w:val="Emphasis"/>
          <w:rFonts w:ascii="Times New Roman" w:hAnsi="Times New Roman"/>
          <w:caps w:val="false"/>
          <w:smallCaps w:val="false"/>
          <w:sz w:val="20"/>
        </w:rPr>
        <w:t xml:space="preserve">September 30, 2025 </w:t>
      </w:r>
      <w:r>
        <w:rPr>
          <w:rFonts w:ascii="Times New Roman" w:hAnsi="Times New Roman"/>
          <w:caps w:val="false"/>
          <w:smallCaps w:val="false"/>
          <w:sz w:val="20"/>
        </w:rPr>
        <w:t xml:space="preserve">and </w:t>
      </w:r>
      <w:r>
        <w:rPr>
          <w:rStyle w:val="Emphasis"/>
          <w:rFonts w:ascii="Times New Roman" w:hAnsi="Times New Roman"/>
          <w:caps w:val="false"/>
          <w:smallCaps w:val="false"/>
          <w:sz w:val="20"/>
        </w:rPr>
        <w:t>2024</w:t>
      </w:r>
      <w:r>
        <w:rPr>
          <w:rFonts w:ascii="Times New Roman" w:hAnsi="Times New Roman"/>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tbl>
      <w:tblPr>
        <w:tblW w:w="7792" w:type="dxa"/>
        <w:jc w:val="left"/>
        <w:tblInd w:w="0" w:type="dxa"/>
        <w:tblLayout w:type="fixed"/>
        <w:tblCellMar>
          <w:top w:w="0" w:type="dxa"/>
          <w:left w:w="0" w:type="dxa"/>
          <w:bottom w:w="0" w:type="dxa"/>
          <w:right w:w="0" w:type="dxa"/>
        </w:tblCellMar>
      </w:tblPr>
      <w:tblGrid>
        <w:gridCol w:w="1700"/>
        <w:gridCol w:w="60"/>
        <w:gridCol w:w="447"/>
        <w:gridCol w:w="822"/>
        <w:gridCol w:w="213"/>
        <w:gridCol w:w="213"/>
        <w:gridCol w:w="447"/>
        <w:gridCol w:w="828"/>
        <w:gridCol w:w="60"/>
        <w:gridCol w:w="60"/>
        <w:gridCol w:w="346"/>
        <w:gridCol w:w="929"/>
        <w:gridCol w:w="166"/>
        <w:gridCol w:w="166"/>
        <w:gridCol w:w="346"/>
        <w:gridCol w:w="929"/>
        <w:gridCol w:w="60"/>
      </w:tblGrid>
      <w:tr>
        <w:trPr/>
        <w:tc>
          <w:tcPr>
            <w:tcW w:w="170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970"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Three Months Ended September 30,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882"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Nine Months Ended September 30,</w:t>
            </w:r>
          </w:p>
        </w:tc>
        <w:tc>
          <w:tcPr>
            <w:tcW w:w="60" w:type="dxa"/>
            <w:tcBorders/>
            <w:shd w:fill="FFFFFF" w:val="clear"/>
            <w:vAlign w:val="center"/>
          </w:tcPr>
          <w:p>
            <w:pPr>
              <w:pStyle w:val="TableContents"/>
              <w:bidi w:val="0"/>
              <w:spacing w:before="0" w:after="283"/>
              <w:jc w:val="left"/>
              <w:rPr/>
            </w:pPr>
            <w:r>
              <w:rPr/>
              <w:t> </w:t>
            </w:r>
          </w:p>
        </w:tc>
      </w:tr>
      <w:tr>
        <w:trPr/>
        <w:tc>
          <w:tcPr>
            <w:tcW w:w="170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69"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2025</w:t>
            </w:r>
          </w:p>
        </w:tc>
        <w:tc>
          <w:tcPr>
            <w:tcW w:w="213" w:type="dxa"/>
            <w:tcBorders/>
            <w:shd w:fill="FFFFFF" w:val="clear"/>
            <w:vAlign w:val="center"/>
          </w:tcPr>
          <w:p>
            <w:pPr>
              <w:pStyle w:val="TableContents"/>
              <w:bidi w:val="0"/>
              <w:spacing w:before="0" w:after="283"/>
              <w:jc w:val="left"/>
              <w:rPr/>
            </w:pPr>
            <w:r>
              <w:rPr/>
              <w:t> </w:t>
            </w:r>
          </w:p>
        </w:tc>
        <w:tc>
          <w:tcPr>
            <w:tcW w:w="213" w:type="dxa"/>
            <w:tcBorders/>
            <w:shd w:fill="FFFFFF" w:val="clear"/>
            <w:vAlign w:val="center"/>
          </w:tcPr>
          <w:p>
            <w:pPr>
              <w:pStyle w:val="TableContents"/>
              <w:bidi w:val="0"/>
              <w:spacing w:before="0" w:after="283"/>
              <w:ind w:left="0" w:right="0" w:hanging="0"/>
              <w:jc w:val="left"/>
              <w:rPr/>
            </w:pPr>
            <w:r>
              <w:rPr/>
              <w:t> </w:t>
            </w:r>
          </w:p>
        </w:tc>
        <w:tc>
          <w:tcPr>
            <w:tcW w:w="127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2024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7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2025</w:t>
            </w:r>
          </w:p>
        </w:tc>
        <w:tc>
          <w:tcPr>
            <w:tcW w:w="166"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ind w:left="0" w:right="0" w:hanging="0"/>
              <w:jc w:val="left"/>
              <w:rPr/>
            </w:pPr>
            <w:r>
              <w:rPr/>
              <w:t> </w:t>
            </w:r>
          </w:p>
        </w:tc>
        <w:tc>
          <w:tcPr>
            <w:tcW w:w="127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2024</w:t>
            </w:r>
          </w:p>
        </w:tc>
        <w:tc>
          <w:tcPr>
            <w:tcW w:w="60" w:type="dxa"/>
            <w:tcBorders/>
            <w:shd w:fill="FFFFFF" w:val="clear"/>
            <w:vAlign w:val="center"/>
          </w:tcPr>
          <w:p>
            <w:pPr>
              <w:pStyle w:val="TableContents"/>
              <w:bidi w:val="0"/>
              <w:spacing w:before="0" w:after="283"/>
              <w:jc w:val="left"/>
              <w:rPr/>
            </w:pPr>
            <w:r>
              <w:rPr/>
              <w:t> </w:t>
            </w:r>
          </w:p>
        </w:tc>
      </w:tr>
      <w:tr>
        <w:trPr/>
        <w:tc>
          <w:tcPr>
            <w:tcW w:w="170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5972" w:type="dxa"/>
            <w:gridSpan w:val="14"/>
            <w:tcBorders/>
            <w:shd w:fill="FFFFFF" w:val="cle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(in thousands)</w:t>
            </w:r>
          </w:p>
        </w:tc>
        <w:tc>
          <w:tcPr>
            <w:tcW w:w="60" w:type="dxa"/>
            <w:tcBorders/>
            <w:shd w:fill="FFFFFF" w:val="clear"/>
            <w:vAlign w:val="center"/>
          </w:tcPr>
          <w:p>
            <w:pPr>
              <w:pStyle w:val="TableContents"/>
              <w:bidi w:val="0"/>
              <w:spacing w:before="0" w:after="283"/>
              <w:ind w:left="0" w:right="0" w:hanging="0"/>
              <w:jc w:val="left"/>
              <w:rPr/>
            </w:pPr>
            <w:r>
              <w:rPr/>
              <w:t> </w:t>
            </w:r>
          </w:p>
        </w:tc>
      </w:tr>
      <w:tr>
        <w:trPr/>
        <w:tc>
          <w:tcPr>
            <w:tcW w:w="170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Operating lease cost</w:t>
            </w:r>
          </w:p>
        </w:tc>
        <w:tc>
          <w:tcPr>
            <w:tcW w:w="60" w:type="dxa"/>
            <w:tcBorders/>
            <w:shd w:fill="CCEEFF" w:val="clear"/>
            <w:vAlign w:val="center"/>
          </w:tcPr>
          <w:p>
            <w:pPr>
              <w:pStyle w:val="TableContents"/>
              <w:bidi w:val="0"/>
              <w:spacing w:before="0" w:after="283"/>
              <w:jc w:val="left"/>
              <w:rPr/>
            </w:pPr>
            <w:r>
              <w:rPr/>
              <w:t> </w:t>
            </w:r>
          </w:p>
        </w:tc>
        <w:tc>
          <w:tcPr>
            <w:tcW w:w="447"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22" w:type="dxa"/>
            <w:tcBorders/>
            <w:shd w:fill="CCEEFF" w:val="clear"/>
            <w:vAlign w:val="center"/>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49</w:t>
            </w:r>
          </w:p>
        </w:tc>
        <w:tc>
          <w:tcPr>
            <w:tcW w:w="213" w:type="dxa"/>
            <w:tcBorders/>
            <w:shd w:fill="CCEEFF" w:val="clear"/>
            <w:vAlign w:val="center"/>
          </w:tcPr>
          <w:p>
            <w:pPr>
              <w:pStyle w:val="TableContents"/>
              <w:bidi w:val="0"/>
              <w:spacing w:before="0" w:after="283"/>
              <w:jc w:val="left"/>
              <w:rPr/>
            </w:pPr>
            <w:r>
              <w:rPr/>
              <w:t> </w:t>
            </w:r>
          </w:p>
        </w:tc>
        <w:tc>
          <w:tcPr>
            <w:tcW w:w="213" w:type="dxa"/>
            <w:tcBorders/>
            <w:shd w:fill="CCEEFF" w:val="clear"/>
            <w:vAlign w:val="center"/>
          </w:tcPr>
          <w:p>
            <w:pPr>
              <w:pStyle w:val="TableContents"/>
              <w:bidi w:val="0"/>
              <w:spacing w:before="0" w:after="283"/>
              <w:jc w:val="left"/>
              <w:rPr/>
            </w:pPr>
            <w:r>
              <w:rPr/>
              <w:t> </w:t>
            </w:r>
          </w:p>
        </w:tc>
        <w:tc>
          <w:tcPr>
            <w:tcW w:w="447"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28" w:type="dxa"/>
            <w:tcBorders/>
            <w:shd w:fill="CCEEFF" w:val="clear"/>
            <w:vAlign w:val="center"/>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49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46"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29" w:type="dxa"/>
            <w:tcBorders/>
            <w:shd w:fill="CCEEFF" w:val="clear"/>
            <w:vAlign w:val="center"/>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146</w:t>
            </w:r>
          </w:p>
        </w:tc>
        <w:tc>
          <w:tcPr>
            <w:tcW w:w="166" w:type="dxa"/>
            <w:tcBorders/>
            <w:shd w:fill="CCEEFF" w:val="clear"/>
            <w:vAlign w:val="center"/>
          </w:tcPr>
          <w:p>
            <w:pPr>
              <w:pStyle w:val="TableContents"/>
              <w:bidi w:val="0"/>
              <w:spacing w:before="0" w:after="283"/>
              <w:jc w:val="left"/>
              <w:rPr/>
            </w:pPr>
            <w:r>
              <w:rPr/>
              <w:t> </w:t>
            </w:r>
          </w:p>
        </w:tc>
        <w:tc>
          <w:tcPr>
            <w:tcW w:w="166" w:type="dxa"/>
            <w:tcBorders/>
            <w:shd w:fill="CCEEFF" w:val="clear"/>
            <w:vAlign w:val="center"/>
          </w:tcPr>
          <w:p>
            <w:pPr>
              <w:pStyle w:val="TableContents"/>
              <w:bidi w:val="0"/>
              <w:spacing w:before="0" w:after="283"/>
              <w:jc w:val="left"/>
              <w:rPr/>
            </w:pPr>
            <w:r>
              <w:rPr/>
              <w:t> </w:t>
            </w:r>
          </w:p>
        </w:tc>
        <w:tc>
          <w:tcPr>
            <w:tcW w:w="346"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29" w:type="dxa"/>
            <w:tcBorders/>
            <w:shd w:fill="CCEEFF" w:val="clear"/>
            <w:vAlign w:val="center"/>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146</w:t>
            </w:r>
          </w:p>
        </w:tc>
        <w:tc>
          <w:tcPr>
            <w:tcW w:w="60" w:type="dxa"/>
            <w:tcBorders/>
            <w:shd w:fill="CCEEFF" w:val="clear"/>
            <w:vAlign w:val="center"/>
          </w:tcPr>
          <w:p>
            <w:pPr>
              <w:pStyle w:val="TableContents"/>
              <w:bidi w:val="0"/>
              <w:spacing w:before="0" w:after="283"/>
              <w:ind w:left="0" w:right="0" w:hanging="0"/>
              <w:jc w:val="left"/>
              <w:rPr/>
            </w:pPr>
            <w:r>
              <w:rPr/>
              <w:t> </w:t>
            </w:r>
          </w:p>
        </w:tc>
      </w:tr>
      <w:tr>
        <w:trPr/>
        <w:tc>
          <w:tcPr>
            <w:tcW w:w="1700" w:type="dxa"/>
            <w:tcBorders/>
            <w:shd w:fill="FFFF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Short-term lease cost</w:t>
            </w:r>
          </w:p>
        </w:tc>
        <w:tc>
          <w:tcPr>
            <w:tcW w:w="60" w:type="dxa"/>
            <w:tcBorders/>
            <w:shd w:fill="FFFFFF" w:val="clear"/>
            <w:vAlign w:val="center"/>
          </w:tcPr>
          <w:p>
            <w:pPr>
              <w:pStyle w:val="TableContents"/>
              <w:bidi w:val="0"/>
              <w:spacing w:before="0" w:after="0"/>
              <w:ind w:left="0" w:right="0" w:hanging="0"/>
              <w:jc w:val="left"/>
              <w:rPr/>
            </w:pPr>
            <w:r>
              <w:rPr/>
              <w:t> </w:t>
            </w:r>
          </w:p>
        </w:tc>
        <w:tc>
          <w:tcPr>
            <w:tcW w:w="447"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822"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34</w:t>
            </w:r>
          </w:p>
        </w:tc>
        <w:tc>
          <w:tcPr>
            <w:tcW w:w="213" w:type="dxa"/>
            <w:tcBorders/>
            <w:shd w:fill="FFFFFF" w:val="clear"/>
            <w:vAlign w:val="center"/>
          </w:tcPr>
          <w:p>
            <w:pPr>
              <w:pStyle w:val="TableContents"/>
              <w:bidi w:val="0"/>
              <w:spacing w:before="0" w:after="0"/>
              <w:ind w:left="0" w:right="0" w:hanging="0"/>
              <w:jc w:val="left"/>
              <w:rPr/>
            </w:pPr>
            <w:r>
              <w:rPr/>
              <w:t> </w:t>
            </w:r>
          </w:p>
        </w:tc>
        <w:tc>
          <w:tcPr>
            <w:tcW w:w="213" w:type="dxa"/>
            <w:tcBorders/>
            <w:shd w:fill="FFFFFF" w:val="clear"/>
            <w:vAlign w:val="center"/>
          </w:tcPr>
          <w:p>
            <w:pPr>
              <w:pStyle w:val="TableContents"/>
              <w:bidi w:val="0"/>
              <w:spacing w:before="0" w:after="0"/>
              <w:ind w:left="0" w:right="0" w:hanging="0"/>
              <w:jc w:val="left"/>
              <w:rPr/>
            </w:pPr>
            <w:r>
              <w:rPr/>
              <w:t> </w:t>
            </w:r>
          </w:p>
        </w:tc>
        <w:tc>
          <w:tcPr>
            <w:tcW w:w="447"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828"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27</w:t>
            </w:r>
          </w:p>
        </w:tc>
        <w:tc>
          <w:tcPr>
            <w:tcW w:w="6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346"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929"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94</w:t>
            </w:r>
          </w:p>
        </w:tc>
        <w:tc>
          <w:tcPr>
            <w:tcW w:w="166" w:type="dxa"/>
            <w:tcBorders/>
            <w:shd w:fill="FFFFFF" w:val="clear"/>
            <w:vAlign w:val="center"/>
          </w:tcPr>
          <w:p>
            <w:pPr>
              <w:pStyle w:val="TableContents"/>
              <w:bidi w:val="0"/>
              <w:spacing w:before="0" w:after="0"/>
              <w:ind w:left="0" w:right="0" w:hanging="0"/>
              <w:jc w:val="left"/>
              <w:rPr/>
            </w:pPr>
            <w:r>
              <w:rPr/>
              <w:t> </w:t>
            </w:r>
          </w:p>
        </w:tc>
        <w:tc>
          <w:tcPr>
            <w:tcW w:w="166" w:type="dxa"/>
            <w:tcBorders/>
            <w:shd w:fill="FFFFFF" w:val="clear"/>
            <w:vAlign w:val="center"/>
          </w:tcPr>
          <w:p>
            <w:pPr>
              <w:pStyle w:val="TableContents"/>
              <w:bidi w:val="0"/>
              <w:spacing w:before="0" w:after="0"/>
              <w:ind w:left="0" w:right="0" w:hanging="0"/>
              <w:jc w:val="left"/>
              <w:rPr/>
            </w:pPr>
            <w:r>
              <w:rPr/>
              <w:t> </w:t>
            </w:r>
          </w:p>
        </w:tc>
        <w:tc>
          <w:tcPr>
            <w:tcW w:w="346"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929"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377</w:t>
            </w:r>
          </w:p>
        </w:tc>
        <w:tc>
          <w:tcPr>
            <w:tcW w:w="60" w:type="dxa"/>
            <w:tcBorders/>
            <w:shd w:fill="FFFFFF" w:val="clear"/>
            <w:vAlign w:val="center"/>
          </w:tcPr>
          <w:p>
            <w:pPr>
              <w:pStyle w:val="TableContents"/>
              <w:bidi w:val="0"/>
              <w:spacing w:before="0" w:after="0"/>
              <w:jc w:val="left"/>
              <w:rPr/>
            </w:pPr>
            <w:r>
              <w:rPr/>
              <w:t> </w:t>
            </w:r>
          </w:p>
        </w:tc>
      </w:tr>
      <w:tr>
        <w:trPr/>
        <w:tc>
          <w:tcPr>
            <w:tcW w:w="170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lease costs</w:t>
            </w:r>
          </w:p>
        </w:tc>
        <w:tc>
          <w:tcPr>
            <w:tcW w:w="60" w:type="dxa"/>
            <w:tcBorders/>
            <w:shd w:fill="CCEEFF" w:val="clear"/>
            <w:vAlign w:val="center"/>
          </w:tcPr>
          <w:p>
            <w:pPr>
              <w:pStyle w:val="TableContents"/>
              <w:bidi w:val="0"/>
              <w:spacing w:before="0" w:after="283"/>
              <w:ind w:left="0" w:right="0" w:hanging="0"/>
              <w:jc w:val="left"/>
              <w:rPr/>
            </w:pPr>
            <w:r>
              <w:rPr/>
              <w:t> </w:t>
            </w:r>
          </w:p>
        </w:tc>
        <w:tc>
          <w:tcPr>
            <w:tcW w:w="447"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22"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83</w:t>
            </w:r>
          </w:p>
        </w:tc>
        <w:tc>
          <w:tcPr>
            <w:tcW w:w="213" w:type="dxa"/>
            <w:tcBorders/>
            <w:shd w:fill="CCEEFF" w:val="clear"/>
            <w:vAlign w:val="center"/>
          </w:tcPr>
          <w:p>
            <w:pPr>
              <w:pStyle w:val="TableContents"/>
              <w:bidi w:val="0"/>
              <w:spacing w:before="0" w:after="283"/>
              <w:jc w:val="left"/>
              <w:rPr/>
            </w:pPr>
            <w:r>
              <w:rPr/>
              <w:t> </w:t>
            </w:r>
          </w:p>
        </w:tc>
        <w:tc>
          <w:tcPr>
            <w:tcW w:w="213" w:type="dxa"/>
            <w:tcBorders/>
            <w:shd w:fill="CCEEFF" w:val="clear"/>
            <w:vAlign w:val="center"/>
          </w:tcPr>
          <w:p>
            <w:pPr>
              <w:pStyle w:val="TableContents"/>
              <w:bidi w:val="0"/>
              <w:spacing w:before="0" w:after="283"/>
              <w:ind w:left="0" w:right="0" w:hanging="0"/>
              <w:jc w:val="left"/>
              <w:rPr/>
            </w:pPr>
            <w:r>
              <w:rPr/>
              <w:t> </w:t>
            </w:r>
          </w:p>
        </w:tc>
        <w:tc>
          <w:tcPr>
            <w:tcW w:w="447"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28"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346"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29"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240</w:t>
            </w:r>
          </w:p>
        </w:tc>
        <w:tc>
          <w:tcPr>
            <w:tcW w:w="166" w:type="dxa"/>
            <w:tcBorders/>
            <w:shd w:fill="CCEEFF" w:val="clear"/>
            <w:vAlign w:val="center"/>
          </w:tcPr>
          <w:p>
            <w:pPr>
              <w:pStyle w:val="TableContents"/>
              <w:bidi w:val="0"/>
              <w:spacing w:before="0" w:after="283"/>
              <w:jc w:val="left"/>
              <w:rPr/>
            </w:pPr>
            <w:r>
              <w:rPr/>
              <w:t> </w:t>
            </w:r>
          </w:p>
        </w:tc>
        <w:tc>
          <w:tcPr>
            <w:tcW w:w="166" w:type="dxa"/>
            <w:tcBorders/>
            <w:shd w:fill="CCEEFF" w:val="clear"/>
            <w:vAlign w:val="center"/>
          </w:tcPr>
          <w:p>
            <w:pPr>
              <w:pStyle w:val="TableContents"/>
              <w:bidi w:val="0"/>
              <w:spacing w:before="0" w:after="283"/>
              <w:ind w:left="0" w:right="0" w:hanging="0"/>
              <w:jc w:val="left"/>
              <w:rPr/>
            </w:pPr>
            <w:r>
              <w:rPr/>
              <w:t> </w:t>
            </w:r>
          </w:p>
        </w:tc>
        <w:tc>
          <w:tcPr>
            <w:tcW w:w="346"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29"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523</w:t>
            </w:r>
          </w:p>
        </w:tc>
        <w:tc>
          <w:tcPr>
            <w:tcW w:w="6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pPr>
      <w:r>
        <w:rPr>
          <w:rStyle w:val="Emphasis"/>
          <w:rFonts w:ascii="Times New Roman" w:hAnsi="Times New Roman"/>
          <w:sz w:val="20"/>
        </w:rPr>
        <w:t>10</w:t>
      </w:r>
      <w:r>
        <w:rPr>
          <w:rFonts w:ascii="Times New Roman" w:hAnsi="Times New Roman"/>
          <w:sz w:val="20"/>
        </w:rPr>
        <w:t xml:space="preserve">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0"/>
        <w:ind w:left="0" w:right="0" w:hanging="0"/>
        <w:jc w:val="left"/>
        <w:rPr/>
      </w:pPr>
      <w:r>
        <w:rPr>
          <w:rFonts w:ascii="Times New Roman;Times;serif" w:hAnsi="Times New Roman;Times;serif"/>
          <w:sz w:val="20"/>
        </w:rPr>
        <w:t xml:space="preserve">The Company’s Houston office operating lease does </w:t>
      </w:r>
      <w:r>
        <w:rPr>
          <w:rStyle w:val="Emphasis"/>
          <w:rFonts w:ascii="Times New Roman;Times;serif" w:hAnsi="Times New Roman;Times;serif"/>
          <w:sz w:val="20"/>
        </w:rPr>
        <w:t>not</w:t>
      </w:r>
      <w:r>
        <w:rPr>
          <w:rFonts w:ascii="Times New Roman;Times;serif" w:hAnsi="Times New Roman;Times;serif"/>
          <w:sz w:val="20"/>
        </w:rPr>
        <w:t xml:space="preserve"> contain implicit interest rates that can be readily determined; therefore, the Company used the incremental borrowing rates in effect at the time the Company entered into the leases.</w:t>
      </w:r>
    </w:p>
    <w:p>
      <w:pPr>
        <w:pStyle w:val="TextBody"/>
        <w:bidi w:val="0"/>
        <w:spacing w:before="0" w:after="0"/>
        <w:ind w:left="0" w:right="0" w:hanging="0"/>
        <w:jc w:val="left"/>
        <w:rPr>
          <w:caps w:val="false"/>
          <w:smallCaps w:val="false"/>
        </w:rPr>
      </w:pPr>
      <w:r>
        <w:rPr>
          <w:caps w:val="false"/>
          <w:smallCaps w:val="false"/>
        </w:rPr>
        <w:t> </w:t>
      </w:r>
    </w:p>
    <w:tbl>
      <w:tblPr>
        <w:tblW w:w="4829" w:type="dxa"/>
        <w:jc w:val="left"/>
        <w:tblInd w:w="0" w:type="dxa"/>
        <w:tblLayout w:type="fixed"/>
        <w:tblCellMar>
          <w:top w:w="0" w:type="dxa"/>
          <w:left w:w="0" w:type="dxa"/>
          <w:bottom w:w="0" w:type="dxa"/>
          <w:right w:w="0" w:type="dxa"/>
        </w:tblCellMar>
      </w:tblPr>
      <w:tblGrid>
        <w:gridCol w:w="2930"/>
        <w:gridCol w:w="60"/>
        <w:gridCol w:w="88"/>
        <w:gridCol w:w="559"/>
        <w:gridCol w:w="272"/>
        <w:gridCol w:w="88"/>
        <w:gridCol w:w="88"/>
        <w:gridCol w:w="559"/>
        <w:gridCol w:w="185"/>
      </w:tblGrid>
      <w:tr>
        <w:trPr/>
        <w:tc>
          <w:tcPr>
            <w:tcW w:w="293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654"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As of September 30,</w:t>
            </w:r>
          </w:p>
        </w:tc>
        <w:tc>
          <w:tcPr>
            <w:tcW w:w="185" w:type="dxa"/>
            <w:tcBorders/>
            <w:shd w:fill="FFFFFF" w:val="clear"/>
            <w:vAlign w:val="center"/>
          </w:tcPr>
          <w:p>
            <w:pPr>
              <w:pStyle w:val="TableContents"/>
              <w:bidi w:val="0"/>
              <w:spacing w:before="0" w:after="283"/>
              <w:jc w:val="left"/>
              <w:rPr/>
            </w:pPr>
            <w:r>
              <w:rPr/>
              <w:t> </w:t>
            </w:r>
          </w:p>
        </w:tc>
      </w:tr>
      <w:tr>
        <w:trPr/>
        <w:tc>
          <w:tcPr>
            <w:tcW w:w="293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647"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2025</w:t>
            </w:r>
          </w:p>
        </w:tc>
        <w:tc>
          <w:tcPr>
            <w:tcW w:w="272" w:type="dxa"/>
            <w:tcBorders/>
            <w:shd w:fill="FFFFFF" w:val="clear"/>
            <w:vAlign w:val="center"/>
          </w:tcPr>
          <w:p>
            <w:pPr>
              <w:pStyle w:val="TableContents"/>
              <w:bidi w:val="0"/>
              <w:spacing w:before="0" w:after="283"/>
              <w:jc w:val="left"/>
              <w:rPr/>
            </w:pPr>
            <w:r>
              <w:rPr/>
              <w:t> </w:t>
            </w:r>
          </w:p>
        </w:tc>
        <w:tc>
          <w:tcPr>
            <w:tcW w:w="88" w:type="dxa"/>
            <w:tcBorders/>
            <w:shd w:fill="FFFFFF" w:val="clear"/>
            <w:vAlign w:val="center"/>
          </w:tcPr>
          <w:p>
            <w:pPr>
              <w:pStyle w:val="TableContents"/>
              <w:bidi w:val="0"/>
              <w:spacing w:before="0" w:after="283"/>
              <w:ind w:left="0" w:right="0" w:hanging="0"/>
              <w:jc w:val="left"/>
              <w:rPr/>
            </w:pPr>
            <w:r>
              <w:rPr/>
              <w:t> </w:t>
            </w:r>
          </w:p>
        </w:tc>
        <w:tc>
          <w:tcPr>
            <w:tcW w:w="647"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2024</w:t>
            </w:r>
          </w:p>
        </w:tc>
        <w:tc>
          <w:tcPr>
            <w:tcW w:w="185" w:type="dxa"/>
            <w:tcBorders/>
            <w:shd w:fill="FFFFFF" w:val="clear"/>
            <w:vAlign w:val="center"/>
          </w:tcPr>
          <w:p>
            <w:pPr>
              <w:pStyle w:val="TableContents"/>
              <w:bidi w:val="0"/>
              <w:spacing w:before="0" w:after="283"/>
              <w:jc w:val="left"/>
              <w:rPr/>
            </w:pPr>
            <w:r>
              <w:rPr/>
              <w:t> </w:t>
            </w:r>
          </w:p>
        </w:tc>
      </w:tr>
      <w:tr>
        <w:trPr/>
        <w:tc>
          <w:tcPr>
            <w:tcW w:w="293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654" w:type="dxa"/>
            <w:gridSpan w:val="6"/>
            <w:tcBorders/>
            <w:shd w:fill="FFFFFF" w:val="cle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(in thousands)</w:t>
            </w:r>
          </w:p>
        </w:tc>
        <w:tc>
          <w:tcPr>
            <w:tcW w:w="185" w:type="dxa"/>
            <w:tcBorders/>
            <w:shd w:fill="FFFFFF" w:val="clear"/>
            <w:vAlign w:val="center"/>
          </w:tcPr>
          <w:p>
            <w:pPr>
              <w:pStyle w:val="TableContents"/>
              <w:bidi w:val="0"/>
              <w:spacing w:before="0" w:after="283"/>
              <w:jc w:val="left"/>
              <w:rPr/>
            </w:pPr>
            <w:r>
              <w:rPr/>
              <w:t> </w:t>
            </w:r>
          </w:p>
        </w:tc>
      </w:tr>
      <w:tr>
        <w:trPr/>
        <w:tc>
          <w:tcPr>
            <w:tcW w:w="2930"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Weighted average lease term (years)</w:t>
            </w:r>
          </w:p>
        </w:tc>
        <w:tc>
          <w:tcPr>
            <w:tcW w:w="60" w:type="dxa"/>
            <w:tcBorders/>
            <w:shd w:fill="CCEEFF" w:val="clear"/>
            <w:vAlign w:val="center"/>
          </w:tcPr>
          <w:p>
            <w:pPr>
              <w:pStyle w:val="TableContents"/>
              <w:bidi w:val="0"/>
              <w:spacing w:before="0" w:after="283"/>
              <w:jc w:val="left"/>
              <w:rPr/>
            </w:pPr>
            <w:r>
              <w:rPr/>
              <w:t> </w:t>
            </w:r>
          </w:p>
        </w:tc>
        <w:tc>
          <w:tcPr>
            <w:tcW w:w="88" w:type="dxa"/>
            <w:tcBorders/>
            <w:shd w:fill="CCEEFF" w:val="clear"/>
            <w:vAlign w:val="center"/>
          </w:tcPr>
          <w:p>
            <w:pPr>
              <w:pStyle w:val="TableContents"/>
              <w:bidi w:val="0"/>
              <w:spacing w:before="0" w:after="283"/>
              <w:ind w:left="0" w:right="0" w:hanging="0"/>
              <w:jc w:val="left"/>
              <w:rPr/>
            </w:pPr>
            <w:r>
              <w:rPr/>
              <w:t> </w:t>
            </w:r>
          </w:p>
        </w:tc>
        <w:tc>
          <w:tcPr>
            <w:tcW w:w="559"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2.2</w:t>
            </w:r>
          </w:p>
        </w:tc>
        <w:tc>
          <w:tcPr>
            <w:tcW w:w="272" w:type="dxa"/>
            <w:tcBorders/>
            <w:shd w:fill="CCEEFF" w:val="clear"/>
            <w:vAlign w:val="center"/>
          </w:tcPr>
          <w:p>
            <w:pPr>
              <w:pStyle w:val="TableContents"/>
              <w:bidi w:val="0"/>
              <w:spacing w:before="0" w:after="283"/>
              <w:jc w:val="left"/>
              <w:rPr/>
            </w:pPr>
            <w:r>
              <w:rPr/>
              <w:t> </w:t>
            </w:r>
          </w:p>
        </w:tc>
        <w:tc>
          <w:tcPr>
            <w:tcW w:w="88" w:type="dxa"/>
            <w:tcBorders/>
            <w:shd w:fill="CCEEFF" w:val="clear"/>
            <w:vAlign w:val="center"/>
          </w:tcPr>
          <w:p>
            <w:pPr>
              <w:pStyle w:val="TableContents"/>
              <w:bidi w:val="0"/>
              <w:spacing w:before="0" w:after="283"/>
              <w:jc w:val="left"/>
              <w:rPr/>
            </w:pPr>
            <w:r>
              <w:rPr/>
              <w:t> </w:t>
            </w:r>
          </w:p>
        </w:tc>
        <w:tc>
          <w:tcPr>
            <w:tcW w:w="88" w:type="dxa"/>
            <w:tcBorders/>
            <w:shd w:fill="CCEEFF" w:val="clear"/>
            <w:vAlign w:val="center"/>
          </w:tcPr>
          <w:p>
            <w:pPr>
              <w:pStyle w:val="TableContents"/>
              <w:bidi w:val="0"/>
              <w:spacing w:before="0" w:after="283"/>
              <w:ind w:left="0" w:right="0" w:hanging="0"/>
              <w:jc w:val="left"/>
              <w:rPr/>
            </w:pPr>
            <w:r>
              <w:rPr/>
              <w:t> </w:t>
            </w:r>
          </w:p>
        </w:tc>
        <w:tc>
          <w:tcPr>
            <w:tcW w:w="559"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3.2</w:t>
            </w:r>
          </w:p>
        </w:tc>
        <w:tc>
          <w:tcPr>
            <w:tcW w:w="185" w:type="dxa"/>
            <w:tcBorders/>
            <w:shd w:fill="CCEEFF" w:val="clear"/>
            <w:vAlign w:val="center"/>
          </w:tcPr>
          <w:p>
            <w:pPr>
              <w:pStyle w:val="TableContents"/>
              <w:bidi w:val="0"/>
              <w:spacing w:before="0" w:after="283"/>
              <w:jc w:val="left"/>
              <w:rPr/>
            </w:pPr>
            <w:r>
              <w:rPr/>
              <w:t> </w:t>
            </w:r>
          </w:p>
        </w:tc>
      </w:tr>
      <w:tr>
        <w:trPr/>
        <w:tc>
          <w:tcPr>
            <w:tcW w:w="2930"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Weighted average discount rate</w:t>
            </w:r>
          </w:p>
        </w:tc>
        <w:tc>
          <w:tcPr>
            <w:tcW w:w="60" w:type="dxa"/>
            <w:tcBorders/>
            <w:shd w:fill="FFFFFF" w:val="clear"/>
            <w:vAlign w:val="center"/>
          </w:tcPr>
          <w:p>
            <w:pPr>
              <w:pStyle w:val="TableContents"/>
              <w:bidi w:val="0"/>
              <w:spacing w:before="0" w:after="283"/>
              <w:jc w:val="left"/>
              <w:rPr/>
            </w:pPr>
            <w:r>
              <w:rPr/>
              <w:t> </w:t>
            </w:r>
          </w:p>
        </w:tc>
        <w:tc>
          <w:tcPr>
            <w:tcW w:w="88" w:type="dxa"/>
            <w:tcBorders/>
            <w:shd w:fill="FFFFFF" w:val="clear"/>
            <w:vAlign w:val="center"/>
          </w:tcPr>
          <w:p>
            <w:pPr>
              <w:pStyle w:val="TableContents"/>
              <w:bidi w:val="0"/>
              <w:spacing w:before="0" w:after="283"/>
              <w:ind w:left="0" w:right="0" w:hanging="0"/>
              <w:jc w:val="left"/>
              <w:rPr/>
            </w:pPr>
            <w:r>
              <w:rPr/>
              <w:t> </w:t>
            </w:r>
          </w:p>
        </w:tc>
        <w:tc>
          <w:tcPr>
            <w:tcW w:w="559"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4.25</w:t>
            </w:r>
          </w:p>
        </w:tc>
        <w:tc>
          <w:tcPr>
            <w:tcW w:w="272"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88" w:type="dxa"/>
            <w:tcBorders/>
            <w:shd w:fill="FFFFFF" w:val="clear"/>
            <w:vAlign w:val="center"/>
          </w:tcPr>
          <w:p>
            <w:pPr>
              <w:pStyle w:val="TableContents"/>
              <w:bidi w:val="0"/>
              <w:spacing w:before="0" w:after="283"/>
              <w:jc w:val="left"/>
              <w:rPr/>
            </w:pPr>
            <w:r>
              <w:rPr/>
              <w:t> </w:t>
            </w:r>
          </w:p>
        </w:tc>
        <w:tc>
          <w:tcPr>
            <w:tcW w:w="88" w:type="dxa"/>
            <w:tcBorders/>
            <w:shd w:fill="FFFFFF" w:val="clear"/>
            <w:vAlign w:val="center"/>
          </w:tcPr>
          <w:p>
            <w:pPr>
              <w:pStyle w:val="TableContents"/>
              <w:bidi w:val="0"/>
              <w:spacing w:before="0" w:after="283"/>
              <w:ind w:left="0" w:right="0" w:hanging="0"/>
              <w:jc w:val="left"/>
              <w:rPr/>
            </w:pPr>
            <w:r>
              <w:rPr/>
              <w:t> </w:t>
            </w:r>
          </w:p>
        </w:tc>
        <w:tc>
          <w:tcPr>
            <w:tcW w:w="559"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4.25</w:t>
            </w:r>
          </w:p>
        </w:tc>
        <w:tc>
          <w:tcPr>
            <w:tcW w:w="185"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pPr>
      <w:r>
        <w:rPr/>
        <w:t> </w:t>
      </w:r>
    </w:p>
    <w:p>
      <w:pPr>
        <w:pStyle w:val="TextBody"/>
        <w:bidi w:val="0"/>
        <w:spacing w:before="0" w:after="0"/>
        <w:ind w:left="0" w:right="0" w:hanging="0"/>
        <w:jc w:val="both"/>
        <w:rPr/>
      </w:pPr>
      <w:r>
        <w:rPr>
          <w:rFonts w:ascii="Times New Roman" w:hAnsi="Times New Roman"/>
          <w:caps w:val="false"/>
          <w:smallCaps w:val="false"/>
          <w:sz w:val="20"/>
        </w:rPr>
        <w:t xml:space="preserve">Maturity of operating lease liabilities with terms of </w:t>
      </w:r>
      <w:r>
        <w:rPr>
          <w:rStyle w:val="Emphasis"/>
          <w:rFonts w:ascii="Times New Roman" w:hAnsi="Times New Roman"/>
          <w:caps w:val="false"/>
          <w:smallCaps w:val="false"/>
          <w:sz w:val="20"/>
        </w:rPr>
        <w:t>one</w:t>
      </w:r>
      <w:r>
        <w:rPr>
          <w:rFonts w:ascii="Times New Roman" w:hAnsi="Times New Roman"/>
          <w:caps w:val="false"/>
          <w:smallCaps w:val="false"/>
          <w:sz w:val="20"/>
        </w:rPr>
        <w:t xml:space="preserve"> year or more as of </w:t>
      </w:r>
      <w:r>
        <w:rPr>
          <w:rStyle w:val="Emphasis"/>
          <w:rFonts w:ascii="Times New Roman" w:hAnsi="Times New Roman"/>
          <w:caps w:val="false"/>
          <w:smallCaps w:val="false"/>
          <w:sz w:val="20"/>
        </w:rPr>
        <w:t>September 30, 2025</w:t>
      </w:r>
      <w:r>
        <w:rPr>
          <w:rFonts w:ascii="Times New Roman" w:hAnsi="Times New Roman"/>
          <w:caps w:val="false"/>
          <w:smallCaps w:val="false"/>
          <w:sz w:val="20"/>
        </w:rPr>
        <w:t> is presented in the following table:</w:t>
      </w:r>
    </w:p>
    <w:p>
      <w:pPr>
        <w:pStyle w:val="TextBody"/>
        <w:bidi w:val="0"/>
        <w:spacing w:before="0" w:after="0"/>
        <w:ind w:left="0" w:right="0" w:hanging="0"/>
        <w:jc w:val="left"/>
        <w:rPr>
          <w:caps w:val="false"/>
          <w:smallCaps w:val="false"/>
        </w:rPr>
      </w:pPr>
      <w:r>
        <w:rPr>
          <w:caps w:val="false"/>
          <w:smallCaps w:val="false"/>
        </w:rPr>
        <w:t> </w:t>
      </w:r>
    </w:p>
    <w:tbl>
      <w:tblPr>
        <w:tblW w:w="3599" w:type="dxa"/>
        <w:jc w:val="left"/>
        <w:tblInd w:w="0" w:type="dxa"/>
        <w:tblLayout w:type="fixed"/>
        <w:tblCellMar>
          <w:top w:w="0" w:type="dxa"/>
          <w:left w:w="0" w:type="dxa"/>
          <w:bottom w:w="0" w:type="dxa"/>
          <w:right w:w="0" w:type="dxa"/>
        </w:tblCellMar>
      </w:tblPr>
      <w:tblGrid>
        <w:gridCol w:w="1805"/>
        <w:gridCol w:w="60"/>
        <w:gridCol w:w="448"/>
        <w:gridCol w:w="1206"/>
        <w:gridCol w:w="80"/>
      </w:tblGrid>
      <w:tr>
        <w:trPr/>
        <w:tc>
          <w:tcPr>
            <w:tcW w:w="180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654"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September 30, 2025</w:t>
            </w:r>
          </w:p>
        </w:tc>
        <w:tc>
          <w:tcPr>
            <w:tcW w:w="80" w:type="dxa"/>
            <w:tcBorders/>
            <w:shd w:fill="FFFFFF" w:val="clear"/>
            <w:vAlign w:val="center"/>
          </w:tcPr>
          <w:p>
            <w:pPr>
              <w:pStyle w:val="TableContents"/>
              <w:bidi w:val="0"/>
              <w:spacing w:before="0" w:after="283"/>
              <w:jc w:val="left"/>
              <w:rPr/>
            </w:pPr>
            <w:r>
              <w:rPr/>
              <w:t> </w:t>
            </w:r>
          </w:p>
        </w:tc>
      </w:tr>
      <w:tr>
        <w:trPr/>
        <w:tc>
          <w:tcPr>
            <w:tcW w:w="180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654" w:type="dxa"/>
            <w:gridSpan w:val="2"/>
            <w:tcBorders/>
            <w:shd w:fill="FFFFFF" w:val="cle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(in thousands)</w:t>
            </w:r>
          </w:p>
        </w:tc>
        <w:tc>
          <w:tcPr>
            <w:tcW w:w="80" w:type="dxa"/>
            <w:tcBorders/>
            <w:shd w:fill="FFFFFF" w:val="clear"/>
            <w:vAlign w:val="center"/>
          </w:tcPr>
          <w:p>
            <w:pPr>
              <w:pStyle w:val="TableContents"/>
              <w:bidi w:val="0"/>
              <w:spacing w:before="0" w:after="283"/>
              <w:jc w:val="left"/>
              <w:rPr/>
            </w:pPr>
            <w:r>
              <w:rPr/>
              <w:t> </w:t>
            </w:r>
          </w:p>
        </w:tc>
      </w:tr>
      <w:tr>
        <w:trPr/>
        <w:tc>
          <w:tcPr>
            <w:tcW w:w="1805"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2025</w:t>
            </w:r>
          </w:p>
        </w:tc>
        <w:tc>
          <w:tcPr>
            <w:tcW w:w="60" w:type="dxa"/>
            <w:tcBorders/>
            <w:shd w:fill="CCEEFF" w:val="clear"/>
            <w:vAlign w:val="center"/>
          </w:tcPr>
          <w:p>
            <w:pPr>
              <w:pStyle w:val="TableContents"/>
              <w:bidi w:val="0"/>
              <w:spacing w:before="0" w:after="283"/>
              <w:jc w:val="left"/>
              <w:rPr/>
            </w:pPr>
            <w:r>
              <w:rPr/>
              <w:t> </w:t>
            </w:r>
          </w:p>
        </w:tc>
        <w:tc>
          <w:tcPr>
            <w:tcW w:w="448"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1206"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55</w:t>
            </w:r>
          </w:p>
        </w:tc>
        <w:tc>
          <w:tcPr>
            <w:tcW w:w="80" w:type="dxa"/>
            <w:tcBorders/>
            <w:shd w:fill="CCEEFF" w:val="clear"/>
            <w:vAlign w:val="center"/>
          </w:tcPr>
          <w:p>
            <w:pPr>
              <w:pStyle w:val="TableContents"/>
              <w:bidi w:val="0"/>
              <w:spacing w:before="0" w:after="283"/>
              <w:jc w:val="left"/>
              <w:rPr/>
            </w:pPr>
            <w:r>
              <w:rPr/>
              <w:t> </w:t>
            </w:r>
          </w:p>
        </w:tc>
      </w:tr>
      <w:tr>
        <w:trPr/>
        <w:tc>
          <w:tcPr>
            <w:tcW w:w="1805"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2026</w:t>
            </w:r>
          </w:p>
        </w:tc>
        <w:tc>
          <w:tcPr>
            <w:tcW w:w="60" w:type="dxa"/>
            <w:tcBorders/>
            <w:shd w:fill="FFFFFF" w:val="clear"/>
            <w:vAlign w:val="center"/>
          </w:tcPr>
          <w:p>
            <w:pPr>
              <w:pStyle w:val="TableContents"/>
              <w:bidi w:val="0"/>
              <w:spacing w:before="0" w:after="283"/>
              <w:jc w:val="left"/>
              <w:rPr/>
            </w:pPr>
            <w:r>
              <w:rPr/>
              <w:t> </w:t>
            </w:r>
          </w:p>
        </w:tc>
        <w:tc>
          <w:tcPr>
            <w:tcW w:w="448" w:type="dxa"/>
            <w:tcBorders/>
            <w:shd w:fill="FFFFFF" w:val="clear"/>
            <w:vAlign w:val="center"/>
          </w:tcPr>
          <w:p>
            <w:pPr>
              <w:pStyle w:val="TableContents"/>
              <w:bidi w:val="0"/>
              <w:spacing w:before="0" w:after="283"/>
              <w:ind w:left="0" w:right="0" w:hanging="0"/>
              <w:jc w:val="left"/>
              <w:rPr/>
            </w:pPr>
            <w:r>
              <w:rPr/>
              <w:t> </w:t>
            </w:r>
          </w:p>
        </w:tc>
        <w:tc>
          <w:tcPr>
            <w:tcW w:w="1206"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224</w:t>
            </w:r>
          </w:p>
        </w:tc>
        <w:tc>
          <w:tcPr>
            <w:tcW w:w="80" w:type="dxa"/>
            <w:tcBorders/>
            <w:shd w:fill="FFFFFF" w:val="clear"/>
            <w:vAlign w:val="center"/>
          </w:tcPr>
          <w:p>
            <w:pPr>
              <w:pStyle w:val="TableContents"/>
              <w:bidi w:val="0"/>
              <w:spacing w:before="0" w:after="283"/>
              <w:jc w:val="left"/>
              <w:rPr/>
            </w:pPr>
            <w:r>
              <w:rPr/>
              <w:t> </w:t>
            </w:r>
          </w:p>
        </w:tc>
      </w:tr>
      <w:tr>
        <w:trPr/>
        <w:tc>
          <w:tcPr>
            <w:tcW w:w="1805"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2027</w:t>
            </w:r>
          </w:p>
        </w:tc>
        <w:tc>
          <w:tcPr>
            <w:tcW w:w="60" w:type="dxa"/>
            <w:tcBorders/>
            <w:shd w:fill="CCEEFF" w:val="clear"/>
            <w:vAlign w:val="center"/>
          </w:tcPr>
          <w:p>
            <w:pPr>
              <w:pStyle w:val="TableContents"/>
              <w:bidi w:val="0"/>
              <w:spacing w:before="0" w:after="283"/>
              <w:jc w:val="left"/>
              <w:rPr/>
            </w:pPr>
            <w:r>
              <w:rPr/>
              <w:t> </w:t>
            </w:r>
          </w:p>
        </w:tc>
        <w:tc>
          <w:tcPr>
            <w:tcW w:w="448" w:type="dxa"/>
            <w:tcBorders/>
            <w:shd w:fill="CCEEFF" w:val="clear"/>
            <w:vAlign w:val="center"/>
          </w:tcPr>
          <w:p>
            <w:pPr>
              <w:pStyle w:val="TableContents"/>
              <w:bidi w:val="0"/>
              <w:spacing w:before="0" w:after="283"/>
              <w:ind w:left="0" w:right="0" w:hanging="0"/>
              <w:jc w:val="left"/>
              <w:rPr/>
            </w:pPr>
            <w:r>
              <w:rPr/>
              <w:t> </w:t>
            </w:r>
          </w:p>
        </w:tc>
        <w:tc>
          <w:tcPr>
            <w:tcW w:w="1206"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210</w:t>
            </w:r>
          </w:p>
        </w:tc>
        <w:tc>
          <w:tcPr>
            <w:tcW w:w="80" w:type="dxa"/>
            <w:tcBorders/>
            <w:shd w:fill="CCEEFF" w:val="clear"/>
            <w:vAlign w:val="center"/>
          </w:tcPr>
          <w:p>
            <w:pPr>
              <w:pStyle w:val="TableContents"/>
              <w:bidi w:val="0"/>
              <w:spacing w:before="0" w:after="283"/>
              <w:jc w:val="left"/>
              <w:rPr/>
            </w:pPr>
            <w:r>
              <w:rPr/>
              <w:t> </w:t>
            </w:r>
          </w:p>
        </w:tc>
      </w:tr>
      <w:tr>
        <w:trPr/>
        <w:tc>
          <w:tcPr>
            <w:tcW w:w="1805"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Total lease payments</w:t>
            </w:r>
          </w:p>
        </w:tc>
        <w:tc>
          <w:tcPr>
            <w:tcW w:w="60" w:type="dxa"/>
            <w:tcBorders/>
            <w:shd w:fill="FFFFFF" w:val="clear"/>
            <w:vAlign w:val="center"/>
          </w:tcPr>
          <w:p>
            <w:pPr>
              <w:pStyle w:val="TableContents"/>
              <w:bidi w:val="0"/>
              <w:spacing w:before="0" w:after="283"/>
              <w:ind w:left="0" w:right="0" w:hanging="0"/>
              <w:jc w:val="left"/>
              <w:rPr/>
            </w:pPr>
            <w:r>
              <w:rPr/>
              <w:t> </w:t>
            </w:r>
          </w:p>
        </w:tc>
        <w:tc>
          <w:tcPr>
            <w:tcW w:w="448" w:type="dxa"/>
            <w:tcBorders>
              <w:top w:val="single" w:sz="2" w:space="0" w:color="000000"/>
            </w:tcBorders>
            <w:shd w:fill="FFFFFF" w:val="clear"/>
            <w:tcMar>
              <w:top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1206" w:type="dxa"/>
            <w:tcBorders>
              <w:top w:val="single" w:sz="2" w:space="0" w:color="000000"/>
            </w:tcBorders>
            <w:shd w:fill="FFFFFF" w:val="clear"/>
            <w:tcMar>
              <w:top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489</w:t>
            </w:r>
          </w:p>
        </w:tc>
        <w:tc>
          <w:tcPr>
            <w:tcW w:w="80" w:type="dxa"/>
            <w:tcBorders/>
            <w:shd w:fill="FFFFFF" w:val="clear"/>
            <w:vAlign w:val="center"/>
          </w:tcPr>
          <w:p>
            <w:pPr>
              <w:pStyle w:val="TableContents"/>
              <w:bidi w:val="0"/>
              <w:spacing w:before="0" w:after="283"/>
              <w:jc w:val="left"/>
              <w:rPr/>
            </w:pPr>
            <w:r>
              <w:rPr/>
              <w:t> </w:t>
            </w:r>
          </w:p>
        </w:tc>
      </w:tr>
      <w:tr>
        <w:trPr/>
        <w:tc>
          <w:tcPr>
            <w:tcW w:w="1805"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Less: imputed interest</w:t>
            </w:r>
          </w:p>
        </w:tc>
        <w:tc>
          <w:tcPr>
            <w:tcW w:w="60" w:type="dxa"/>
            <w:tcBorders/>
            <w:shd w:fill="CCEEFF" w:val="clear"/>
            <w:vAlign w:val="center"/>
          </w:tcPr>
          <w:p>
            <w:pPr>
              <w:pStyle w:val="TableContents"/>
              <w:bidi w:val="0"/>
              <w:spacing w:before="0" w:after="283"/>
              <w:jc w:val="left"/>
              <w:rPr/>
            </w:pPr>
            <w:r>
              <w:rPr/>
              <w:t> </w:t>
            </w:r>
          </w:p>
        </w:tc>
        <w:tc>
          <w:tcPr>
            <w:tcW w:w="448"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206"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(24</w:t>
            </w:r>
          </w:p>
        </w:tc>
        <w:tc>
          <w:tcPr>
            <w:tcW w:w="80"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r>
        <w:trPr/>
        <w:tc>
          <w:tcPr>
            <w:tcW w:w="1805"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Total lease liability</w:t>
            </w:r>
          </w:p>
        </w:tc>
        <w:tc>
          <w:tcPr>
            <w:tcW w:w="60" w:type="dxa"/>
            <w:tcBorders/>
            <w:shd w:fill="FFFFFF" w:val="clear"/>
            <w:vAlign w:val="center"/>
          </w:tcPr>
          <w:p>
            <w:pPr>
              <w:pStyle w:val="TableContents"/>
              <w:bidi w:val="0"/>
              <w:spacing w:before="0" w:after="283"/>
              <w:ind w:left="0" w:right="0" w:hanging="0"/>
              <w:jc w:val="left"/>
              <w:rPr/>
            </w:pPr>
            <w:r>
              <w:rPr/>
              <w:t> </w:t>
            </w:r>
          </w:p>
        </w:tc>
        <w:tc>
          <w:tcPr>
            <w:tcW w:w="448"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1206"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465</w:t>
            </w:r>
          </w:p>
        </w:tc>
        <w:tc>
          <w:tcPr>
            <w:tcW w:w="80"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283"/>
        <w:jc w:val="left"/>
        <w:rPr/>
      </w:pPr>
      <w:r>
        <w:rPr/>
        <w:t xml:space="preserve">  </w:t>
      </w:r>
    </w:p>
    <w:p>
      <w:pPr>
        <w:pStyle w:val="TextBody"/>
        <w:bidi w:val="0"/>
        <w:spacing w:before="0" w:after="0"/>
        <w:ind w:left="0" w:right="0" w:hanging="0"/>
        <w:jc w:val="both"/>
        <w:rPr/>
      </w:pPr>
      <w:r>
        <w:rPr>
          <w:rStyle w:val="Emphasis"/>
          <w:rFonts w:ascii="Times New Roman" w:hAnsi="Times New Roman"/>
          <w:b/>
          <w:caps w:val="false"/>
          <w:smallCaps w:val="false"/>
          <w:sz w:val="20"/>
        </w:rPr>
        <w:t>5.</w:t>
      </w:r>
      <w:r>
        <w:rPr>
          <w:rFonts w:ascii="Times New Roman" w:hAnsi="Times New Roman"/>
          <w:b/>
          <w:caps w:val="false"/>
          <w:smallCaps w:val="false"/>
          <w:sz w:val="20"/>
        </w:rPr>
        <w:t xml:space="preserve"> OIL AND NATURAL GAS PRODUCING ACTIVITIES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Full Cost Method Ceiling Test and Impairment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caps w:val="false"/>
          <w:smallCaps w:val="false"/>
          <w:sz w:val="20"/>
        </w:rPr>
        <w:t xml:space="preserve">The reserves used in the ceiling test incorporate assumptions regarding pricing and discount rates over which management has </w:t>
      </w:r>
      <w:r>
        <w:rPr>
          <w:rStyle w:val="Emphasis"/>
          <w:rFonts w:ascii="Times New Roman" w:hAnsi="Times New Roman"/>
          <w:caps w:val="false"/>
          <w:smallCaps w:val="false"/>
          <w:sz w:val="20"/>
        </w:rPr>
        <w:t>no</w:t>
      </w:r>
      <w:r>
        <w:rPr>
          <w:rFonts w:ascii="Times New Roman" w:hAnsi="Times New Roman"/>
          <w:caps w:val="false"/>
          <w:smallCaps w:val="false"/>
          <w:sz w:val="20"/>
        </w:rPr>
        <w:t xml:space="preserve"> influence in the determination of present value. In the calculation of the ceiling test as of </w:t>
      </w:r>
      <w:r>
        <w:rPr>
          <w:rStyle w:val="Emphasis"/>
          <w:rFonts w:ascii="Times New Roman" w:hAnsi="Times New Roman"/>
          <w:caps w:val="false"/>
          <w:smallCaps w:val="false"/>
          <w:sz w:val="20"/>
        </w:rPr>
        <w:t>September 30, 2025</w:t>
      </w:r>
      <w:r>
        <w:rPr>
          <w:rFonts w:ascii="Times New Roman" w:hAnsi="Times New Roman"/>
          <w:caps w:val="false"/>
          <w:smallCaps w:val="false"/>
          <w:sz w:val="20"/>
        </w:rPr>
        <w:t xml:space="preserve">, the Company used $67.45 per barrel for oil and $3.10 per </w:t>
      </w:r>
      <w:r>
        <w:rPr>
          <w:rStyle w:val="Emphasis"/>
          <w:rFonts w:ascii="Times New Roman" w:hAnsi="Times New Roman"/>
          <w:caps w:val="false"/>
          <w:smallCaps w:val="false"/>
          <w:sz w:val="20"/>
        </w:rPr>
        <w:t>one million</w:t>
      </w:r>
      <w:r>
        <w:rPr>
          <w:rFonts w:ascii="Times New Roman" w:hAnsi="Times New Roman"/>
          <w:caps w:val="false"/>
          <w:smallCaps w:val="false"/>
          <w:sz w:val="20"/>
        </w:rPr>
        <w:t xml:space="preserve"> British Thermal Units for natural gas (as further adjusted for property, specific gravity, quality, local markets and distance from markets) to compute the future cash flows of the Company’s producing properties. The discount factor used was 10%. The Company recorded $0.9 million and $3.6 million ceiling test write-downs of its oil and natural gas properties during the </w:t>
      </w:r>
      <w:r>
        <w:rPr>
          <w:rStyle w:val="Emphasis"/>
          <w:rFonts w:ascii="Times New Roman" w:hAnsi="Times New Roman"/>
          <w:caps w:val="false"/>
          <w:smallCaps w:val="false"/>
          <w:sz w:val="20"/>
        </w:rPr>
        <w:t>three</w:t>
      </w:r>
      <w:r>
        <w:rPr>
          <w:rFonts w:ascii="Times New Roman" w:hAnsi="Times New Roman"/>
          <w:caps w:val="false"/>
          <w:smallCaps w:val="false"/>
          <w:sz w:val="20"/>
        </w:rPr>
        <w:t xml:space="preserve"> and </w:t>
      </w:r>
      <w:r>
        <w:rPr>
          <w:rStyle w:val="Emphasis"/>
          <w:rFonts w:ascii="Times New Roman" w:hAnsi="Times New Roman"/>
          <w:caps w:val="false"/>
          <w:smallCaps w:val="false"/>
          <w:sz w:val="20"/>
        </w:rPr>
        <w:t>nine</w:t>
      </w:r>
      <w:r>
        <w:rPr>
          <w:rFonts w:ascii="Times New Roman" w:hAnsi="Times New Roman"/>
          <w:caps w:val="false"/>
          <w:smallCaps w:val="false"/>
          <w:sz w:val="20"/>
        </w:rPr>
        <w:t xml:space="preserve"> months ended </w:t>
      </w:r>
      <w:r>
        <w:rPr>
          <w:rStyle w:val="Emphasis"/>
          <w:rFonts w:ascii="Times New Roman" w:hAnsi="Times New Roman"/>
          <w:caps w:val="false"/>
          <w:smallCaps w:val="false"/>
          <w:sz w:val="20"/>
        </w:rPr>
        <w:t>September 30, 2025</w:t>
      </w:r>
      <w:r>
        <w:rPr>
          <w:rFonts w:ascii="Times New Roman" w:hAnsi="Times New Roman"/>
          <w:caps w:val="false"/>
          <w:smallCaps w:val="false"/>
          <w:sz w:val="20"/>
        </w:rPr>
        <w:t>, respectively, due to the reduction in the value of proved oil and natural gas reserves primarily as a result of a decrease in crude oil prices and reserve reductions from recent divestitures.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caps w:val="false"/>
          <w:smallCaps w:val="false"/>
          <w:sz w:val="20"/>
        </w:rPr>
        <w:t>The Company recorded $1.4 million and $6.8 million ceiling test write-downs of its oil and natural gas properties during the </w:t>
      </w:r>
      <w:r>
        <w:rPr>
          <w:rStyle w:val="Emphasis"/>
          <w:rFonts w:ascii="Times New Roman" w:hAnsi="Times New Roman"/>
          <w:caps w:val="false"/>
          <w:smallCaps w:val="false"/>
          <w:sz w:val="20"/>
        </w:rPr>
        <w:t>three</w:t>
      </w:r>
      <w:r>
        <w:rPr>
          <w:rFonts w:ascii="Times New Roman" w:hAnsi="Times New Roman"/>
          <w:caps w:val="false"/>
          <w:smallCaps w:val="false"/>
          <w:sz w:val="20"/>
        </w:rPr>
        <w:t xml:space="preserve"> and </w:t>
      </w:r>
      <w:r>
        <w:rPr>
          <w:rStyle w:val="Emphasis"/>
          <w:rFonts w:ascii="Times New Roman" w:hAnsi="Times New Roman"/>
          <w:caps w:val="false"/>
          <w:smallCaps w:val="false"/>
          <w:sz w:val="20"/>
        </w:rPr>
        <w:t>nine</w:t>
      </w:r>
      <w:r>
        <w:rPr>
          <w:rFonts w:ascii="Times New Roman" w:hAnsi="Times New Roman"/>
          <w:caps w:val="false"/>
          <w:smallCaps w:val="false"/>
          <w:sz w:val="20"/>
        </w:rPr>
        <w:t xml:space="preserve"> months ended </w:t>
      </w:r>
      <w:r>
        <w:rPr>
          <w:rStyle w:val="Emphasis"/>
          <w:rFonts w:ascii="Times New Roman" w:hAnsi="Times New Roman"/>
          <w:caps w:val="false"/>
          <w:smallCaps w:val="false"/>
          <w:sz w:val="20"/>
        </w:rPr>
        <w:t>September 30, 2024</w:t>
      </w:r>
      <w:r>
        <w:rPr>
          <w:rFonts w:ascii="Times New Roman" w:hAnsi="Times New Roman"/>
          <w:caps w:val="false"/>
          <w:smallCaps w:val="false"/>
          <w:sz w:val="20"/>
        </w:rPr>
        <w:t xml:space="preserve">, due to a reduction in the value of proved oil and natural gas reserves primarily as a result of a decrease in crude oil and natural gas prices, as well as reserves revisions related to wells shut-in during the </w:t>
      </w:r>
      <w:r>
        <w:rPr>
          <w:rStyle w:val="Emphasis"/>
          <w:rFonts w:ascii="Times New Roman" w:hAnsi="Times New Roman"/>
          <w:caps w:val="false"/>
          <w:smallCaps w:val="false"/>
          <w:sz w:val="20"/>
        </w:rPr>
        <w:t>first</w:t>
      </w:r>
      <w:r>
        <w:rPr>
          <w:rFonts w:ascii="Times New Roman" w:hAnsi="Times New Roman"/>
          <w:caps w:val="false"/>
          <w:smallCaps w:val="false"/>
          <w:sz w:val="20"/>
        </w:rPr>
        <w:t xml:space="preserve"> quarter of </w:t>
      </w:r>
      <w:r>
        <w:rPr>
          <w:rStyle w:val="Emphasis"/>
          <w:rFonts w:ascii="Times New Roman" w:hAnsi="Times New Roman"/>
          <w:caps w:val="false"/>
          <w:smallCaps w:val="false"/>
          <w:sz w:val="20"/>
        </w:rPr>
        <w:t>2024</w:t>
      </w:r>
      <w:r>
        <w:rPr>
          <w:rFonts w:ascii="Times New Roman" w:hAnsi="Times New Roman"/>
          <w:caps w:val="false"/>
          <w:smallCaps w:val="false"/>
          <w:sz w:val="20"/>
        </w:rPr>
        <w:t xml:space="preserve"> and updates to the decline curves for certain wells.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283"/>
        <w:jc w:val="left"/>
        <w:rPr/>
      </w:pPr>
      <w:r>
        <w:rPr/>
        <w:t xml:space="preserve">  </w:t>
      </w:r>
    </w:p>
    <w:p>
      <w:pPr>
        <w:pStyle w:val="TextBody"/>
        <w:bidi w:val="0"/>
        <w:spacing w:before="0" w:after="0"/>
        <w:ind w:left="0" w:right="0" w:hanging="0"/>
        <w:jc w:val="both"/>
        <w:rPr/>
      </w:pPr>
      <w:r>
        <w:rPr>
          <w:rStyle w:val="Emphasis"/>
          <w:rFonts w:ascii="Times New Roman" w:hAnsi="Times New Roman"/>
          <w:b/>
          <w:caps w:val="false"/>
          <w:smallCaps w:val="false"/>
          <w:sz w:val="20"/>
        </w:rPr>
        <w:t>6.</w:t>
      </w:r>
      <w:r>
        <w:rPr>
          <w:rFonts w:ascii="Times New Roman" w:hAnsi="Times New Roman"/>
          <w:b/>
          <w:caps w:val="false"/>
          <w:smallCaps w:val="false"/>
          <w:sz w:val="20"/>
        </w:rPr>
        <w:t xml:space="preserve"> Credit Facility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caps w:val="false"/>
          <w:smallCaps w:val="false"/>
          <w:sz w:val="20"/>
        </w:rPr>
        <w:t xml:space="preserve">On </w:t>
      </w:r>
      <w:r>
        <w:rPr>
          <w:rStyle w:val="Emphasis"/>
          <w:rFonts w:ascii="Times New Roman" w:hAnsi="Times New Roman"/>
          <w:caps w:val="false"/>
          <w:smallCaps w:val="false"/>
          <w:sz w:val="20"/>
        </w:rPr>
        <w:t xml:space="preserve">January 5, 2022, </w:t>
      </w:r>
      <w:r>
        <w:rPr>
          <w:rFonts w:ascii="Times New Roman" w:hAnsi="Times New Roman"/>
          <w:caps w:val="false"/>
          <w:smallCaps w:val="false"/>
          <w:sz w:val="20"/>
        </w:rPr>
        <w:t xml:space="preserve">the Company entered into a four-year credit agreement (“Credit Agreement”) with FirstBank Southwest (“FirstBank”) as administrative agent for </w:t>
      </w:r>
      <w:r>
        <w:rPr>
          <w:rStyle w:val="Emphasis"/>
          <w:rFonts w:ascii="Times New Roman" w:hAnsi="Times New Roman"/>
          <w:caps w:val="false"/>
          <w:smallCaps w:val="false"/>
          <w:sz w:val="20"/>
        </w:rPr>
        <w:t>one</w:t>
      </w:r>
      <w:r>
        <w:rPr>
          <w:rFonts w:ascii="Times New Roman" w:hAnsi="Times New Roman"/>
          <w:caps w:val="false"/>
          <w:smallCaps w:val="false"/>
          <w:sz w:val="20"/>
        </w:rPr>
        <w:t xml:space="preserve"> or more lenders (the “Lenders”), which provided for a revolving line of credit with an initial borrowing base of $15 million, and a maximum credit amount of $100 million. Borrowings under the Credit Agreement are collateralized by a </w:t>
      </w:r>
      <w:r>
        <w:rPr>
          <w:rStyle w:val="Emphasis"/>
          <w:rFonts w:ascii="Times New Roman" w:hAnsi="Times New Roman"/>
          <w:caps w:val="false"/>
          <w:smallCaps w:val="false"/>
          <w:sz w:val="20"/>
        </w:rPr>
        <w:t>first</w:t>
      </w:r>
      <w:r>
        <w:rPr>
          <w:rFonts w:ascii="Times New Roman" w:hAnsi="Times New Roman"/>
          <w:caps w:val="false"/>
          <w:smallCaps w:val="false"/>
          <w:sz w:val="20"/>
        </w:rPr>
        <w:t xml:space="preserve"> priority, perfected lien and security interests on substantially all assets of the Company (subject to permitted liens and other customary exceptions). On </w:t>
      </w:r>
      <w:r>
        <w:rPr>
          <w:rStyle w:val="Emphasis"/>
          <w:rFonts w:ascii="Times New Roman" w:hAnsi="Times New Roman"/>
          <w:caps w:val="false"/>
          <w:smallCaps w:val="false"/>
          <w:sz w:val="20"/>
        </w:rPr>
        <w:t xml:space="preserve">July 26, 2022, </w:t>
      </w:r>
      <w:r>
        <w:rPr>
          <w:rFonts w:ascii="Times New Roman" w:hAnsi="Times New Roman"/>
          <w:caps w:val="false"/>
          <w:smallCaps w:val="false"/>
          <w:sz w:val="20"/>
        </w:rPr>
        <w:t xml:space="preserve">the Company entered into a letter agreement with FirstBank whereby it increased the borrowing base under the Credit Agreement from $15 million to $20 million. Under the Credit Agreement, revolving loans </w:t>
      </w:r>
      <w:r>
        <w:rPr>
          <w:rStyle w:val="Emphasis"/>
          <w:rFonts w:ascii="Times New Roman" w:hAnsi="Times New Roman"/>
          <w:caps w:val="false"/>
          <w:smallCaps w:val="false"/>
          <w:sz w:val="20"/>
        </w:rPr>
        <w:t xml:space="preserve">may </w:t>
      </w:r>
      <w:r>
        <w:rPr>
          <w:rFonts w:ascii="Times New Roman" w:hAnsi="Times New Roman"/>
          <w:caps w:val="false"/>
          <w:smallCaps w:val="false"/>
          <w:sz w:val="20"/>
        </w:rPr>
        <w:t xml:space="preserve">be borrowed, repaid and re-borrowed until </w:t>
      </w:r>
      <w:r>
        <w:rPr>
          <w:rStyle w:val="Emphasis"/>
          <w:rFonts w:ascii="Times New Roman" w:hAnsi="Times New Roman"/>
          <w:caps w:val="false"/>
          <w:smallCaps w:val="false"/>
          <w:sz w:val="20"/>
        </w:rPr>
        <w:t xml:space="preserve">January 5, 2026, </w:t>
      </w:r>
      <w:r>
        <w:rPr>
          <w:rFonts w:ascii="Times New Roman" w:hAnsi="Times New Roman"/>
          <w:caps w:val="false"/>
          <w:smallCaps w:val="false"/>
          <w:sz w:val="20"/>
        </w:rPr>
        <w:t>when all outstanding amounts must be repaid.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caps w:val="false"/>
          <w:smallCaps w:val="false"/>
          <w:sz w:val="20"/>
        </w:rPr>
        <w:t xml:space="preserve">Under the Credit Agreement, revolving loans </w:t>
      </w:r>
      <w:r>
        <w:rPr>
          <w:rStyle w:val="Emphasis"/>
          <w:rFonts w:ascii="Times New Roman" w:hAnsi="Times New Roman"/>
          <w:caps w:val="false"/>
          <w:smallCaps w:val="false"/>
          <w:sz w:val="20"/>
        </w:rPr>
        <w:t xml:space="preserve">may </w:t>
      </w:r>
      <w:r>
        <w:rPr>
          <w:rFonts w:ascii="Times New Roman" w:hAnsi="Times New Roman"/>
          <w:caps w:val="false"/>
          <w:smallCaps w:val="false"/>
          <w:sz w:val="20"/>
        </w:rPr>
        <w:t xml:space="preserve">be borrowed, repaid and re-borrowed until </w:t>
      </w:r>
      <w:r>
        <w:rPr>
          <w:rStyle w:val="Emphasis"/>
          <w:rFonts w:ascii="Times New Roman" w:hAnsi="Times New Roman"/>
          <w:caps w:val="false"/>
          <w:smallCaps w:val="false"/>
          <w:sz w:val="20"/>
        </w:rPr>
        <w:t xml:space="preserve">January 5, 2026, </w:t>
      </w:r>
      <w:r>
        <w:rPr>
          <w:rFonts w:ascii="Times New Roman" w:hAnsi="Times New Roman"/>
          <w:caps w:val="false"/>
          <w:smallCaps w:val="false"/>
          <w:sz w:val="20"/>
        </w:rPr>
        <w:t xml:space="preserve">when all outstanding amounts must be repaid. Interest on the outstanding amounts under the Credit Agreement will accrue at an interest rate equal to the greater of (i) the prime rate in effect on such day, and (ii) the Federal Funds rate in effect on such day (as determined in the Credit Agreement) plus 0.50%, and an applicable margin that ranges between 0.25% to 1.25% depending on utilization of the amount of the borrowing base (the “Applicable Margin”). Interest expense from drawn balances recognized on the Credit Agreement and the weighted average interest rates for the </w:t>
      </w:r>
      <w:r>
        <w:rPr>
          <w:rStyle w:val="Emphasis"/>
          <w:rFonts w:ascii="Times New Roman" w:hAnsi="Times New Roman"/>
          <w:caps w:val="false"/>
          <w:smallCaps w:val="false"/>
          <w:sz w:val="20"/>
        </w:rPr>
        <w:t>three</w:t>
      </w:r>
      <w:r>
        <w:rPr>
          <w:rFonts w:ascii="Times New Roman" w:hAnsi="Times New Roman"/>
          <w:caps w:val="false"/>
          <w:smallCaps w:val="false"/>
          <w:sz w:val="20"/>
        </w:rPr>
        <w:t xml:space="preserve"> and </w:t>
      </w:r>
      <w:r>
        <w:rPr>
          <w:rStyle w:val="Emphasis"/>
          <w:rFonts w:ascii="Times New Roman" w:hAnsi="Times New Roman"/>
          <w:caps w:val="false"/>
          <w:smallCaps w:val="false"/>
          <w:sz w:val="20"/>
        </w:rPr>
        <w:t>nine</w:t>
      </w:r>
      <w:r>
        <w:rPr>
          <w:rFonts w:ascii="Times New Roman" w:hAnsi="Times New Roman"/>
          <w:caps w:val="false"/>
          <w:smallCaps w:val="false"/>
          <w:sz w:val="20"/>
        </w:rPr>
        <w:t xml:space="preserve"> months ended </w:t>
      </w:r>
      <w:r>
        <w:rPr>
          <w:rStyle w:val="Emphasis"/>
          <w:rFonts w:ascii="Times New Roman" w:hAnsi="Times New Roman"/>
          <w:caps w:val="false"/>
          <w:smallCaps w:val="false"/>
          <w:sz w:val="20"/>
        </w:rPr>
        <w:t xml:space="preserve">September 30, 2025 </w:t>
      </w:r>
      <w:r>
        <w:rPr>
          <w:rFonts w:ascii="Times New Roman" w:hAnsi="Times New Roman"/>
          <w:caps w:val="false"/>
          <w:smallCaps w:val="false"/>
          <w:sz w:val="20"/>
        </w:rPr>
        <w:t xml:space="preserve">and </w:t>
      </w:r>
      <w:r>
        <w:rPr>
          <w:rStyle w:val="Emphasis"/>
          <w:rFonts w:ascii="Times New Roman" w:hAnsi="Times New Roman"/>
          <w:caps w:val="false"/>
          <w:smallCaps w:val="false"/>
          <w:sz w:val="20"/>
        </w:rPr>
        <w:t>2024</w:t>
      </w:r>
      <w:r>
        <w:rPr>
          <w:rFonts w:ascii="Times New Roman" w:hAnsi="Times New Roman"/>
          <w:caps w:val="false"/>
          <w:smallCaps w:val="false"/>
          <w:sz w:val="20"/>
        </w:rPr>
        <w:t xml:space="preserve"> are presented in the following table:</w:t>
      </w:r>
    </w:p>
    <w:p>
      <w:pPr>
        <w:pStyle w:val="TextBody"/>
        <w:bidi w:val="0"/>
        <w:spacing w:before="0" w:after="0"/>
        <w:ind w:left="0" w:right="0" w:hanging="0"/>
        <w:jc w:val="both"/>
        <w:rPr>
          <w:caps w:val="false"/>
          <w:smallCaps w:val="false"/>
        </w:rPr>
      </w:pPr>
      <w:r>
        <w:rPr>
          <w:caps w:val="false"/>
          <w:smallCaps w:val="false"/>
        </w:rPr>
        <w:t> </w:t>
      </w:r>
    </w:p>
    <w:tbl>
      <w:tblPr>
        <w:tblW w:w="8822" w:type="dxa"/>
        <w:jc w:val="left"/>
        <w:tblInd w:w="0" w:type="dxa"/>
        <w:tblLayout w:type="fixed"/>
        <w:tblCellMar>
          <w:top w:w="0" w:type="dxa"/>
          <w:left w:w="0" w:type="dxa"/>
          <w:bottom w:w="0" w:type="dxa"/>
          <w:right w:w="0" w:type="dxa"/>
        </w:tblCellMar>
      </w:tblPr>
      <w:tblGrid>
        <w:gridCol w:w="2480"/>
        <w:gridCol w:w="60"/>
        <w:gridCol w:w="355"/>
        <w:gridCol w:w="782"/>
        <w:gridCol w:w="526"/>
        <w:gridCol w:w="170"/>
        <w:gridCol w:w="355"/>
        <w:gridCol w:w="782"/>
        <w:gridCol w:w="185"/>
        <w:gridCol w:w="60"/>
        <w:gridCol w:w="326"/>
        <w:gridCol w:w="717"/>
        <w:gridCol w:w="483"/>
        <w:gridCol w:w="156"/>
        <w:gridCol w:w="326"/>
        <w:gridCol w:w="874"/>
        <w:gridCol w:w="185"/>
      </w:tblGrid>
      <w:tr>
        <w:trPr/>
        <w:tc>
          <w:tcPr>
            <w:tcW w:w="24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970"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Three Months Ended September 30,</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882"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Nine Months Ended September 30,</w:t>
            </w:r>
          </w:p>
        </w:tc>
        <w:tc>
          <w:tcPr>
            <w:tcW w:w="185" w:type="dxa"/>
            <w:tcBorders/>
            <w:shd w:fill="FFFFFF" w:val="clear"/>
            <w:vAlign w:val="center"/>
          </w:tcPr>
          <w:p>
            <w:pPr>
              <w:pStyle w:val="TableContents"/>
              <w:bidi w:val="0"/>
              <w:spacing w:before="0" w:after="283"/>
              <w:jc w:val="left"/>
              <w:rPr/>
            </w:pPr>
            <w:r>
              <w:rPr/>
              <w:t> </w:t>
            </w:r>
          </w:p>
        </w:tc>
      </w:tr>
      <w:tr>
        <w:trPr/>
        <w:tc>
          <w:tcPr>
            <w:tcW w:w="24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37"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2025</w:t>
            </w:r>
          </w:p>
        </w:tc>
        <w:tc>
          <w:tcPr>
            <w:tcW w:w="526"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ind w:left="0" w:right="0" w:hanging="0"/>
              <w:jc w:val="left"/>
              <w:rPr/>
            </w:pPr>
            <w:r>
              <w:rPr/>
              <w:t> </w:t>
            </w:r>
          </w:p>
        </w:tc>
        <w:tc>
          <w:tcPr>
            <w:tcW w:w="1137"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2024</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043"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2025</w:t>
            </w:r>
          </w:p>
        </w:tc>
        <w:tc>
          <w:tcPr>
            <w:tcW w:w="483" w:type="dxa"/>
            <w:tcBorders/>
            <w:shd w:fill="FFFFFF" w:val="clear"/>
            <w:vAlign w:val="center"/>
          </w:tcPr>
          <w:p>
            <w:pPr>
              <w:pStyle w:val="TableContents"/>
              <w:bidi w:val="0"/>
              <w:spacing w:before="0" w:after="283"/>
              <w:jc w:val="left"/>
              <w:rPr/>
            </w:pPr>
            <w:r>
              <w:rPr/>
              <w:t> </w:t>
            </w:r>
          </w:p>
        </w:tc>
        <w:tc>
          <w:tcPr>
            <w:tcW w:w="156" w:type="dxa"/>
            <w:tcBorders/>
            <w:shd w:fill="FFFFFF" w:val="clear"/>
            <w:vAlign w:val="center"/>
          </w:tcPr>
          <w:p>
            <w:pPr>
              <w:pStyle w:val="TableContents"/>
              <w:bidi w:val="0"/>
              <w:spacing w:before="0" w:after="283"/>
              <w:ind w:left="0" w:right="0" w:hanging="0"/>
              <w:jc w:val="left"/>
              <w:rPr/>
            </w:pPr>
            <w:r>
              <w:rPr/>
              <w:t> </w:t>
            </w:r>
          </w:p>
        </w:tc>
        <w:tc>
          <w:tcPr>
            <w:tcW w:w="120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2024</w:t>
            </w:r>
          </w:p>
        </w:tc>
        <w:tc>
          <w:tcPr>
            <w:tcW w:w="185" w:type="dxa"/>
            <w:tcBorders/>
            <w:shd w:fill="FFFFFF" w:val="clear"/>
            <w:vAlign w:val="center"/>
          </w:tcPr>
          <w:p>
            <w:pPr>
              <w:pStyle w:val="TableContents"/>
              <w:bidi w:val="0"/>
              <w:spacing w:before="0" w:after="283"/>
              <w:jc w:val="left"/>
              <w:rPr/>
            </w:pPr>
            <w:r>
              <w:rPr/>
              <w:t> </w:t>
            </w:r>
          </w:p>
        </w:tc>
      </w:tr>
      <w:tr>
        <w:trPr/>
        <w:tc>
          <w:tcPr>
            <w:tcW w:w="24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6097" w:type="dxa"/>
            <w:gridSpan w:val="14"/>
            <w:tcBorders/>
            <w:shd w:fill="FFFFFF" w:val="cle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(in thousands)</w:t>
            </w:r>
          </w:p>
        </w:tc>
        <w:tc>
          <w:tcPr>
            <w:tcW w:w="185" w:type="dxa"/>
            <w:tcBorders/>
            <w:shd w:fill="FFFFFF" w:val="clear"/>
            <w:vAlign w:val="center"/>
          </w:tcPr>
          <w:p>
            <w:pPr>
              <w:pStyle w:val="TableContents"/>
              <w:bidi w:val="0"/>
              <w:spacing w:before="0" w:after="283"/>
              <w:jc w:val="left"/>
              <w:rPr/>
            </w:pPr>
            <w:r>
              <w:rPr/>
              <w:t> </w:t>
            </w:r>
          </w:p>
        </w:tc>
      </w:tr>
      <w:tr>
        <w:trPr/>
        <w:tc>
          <w:tcPr>
            <w:tcW w:w="248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Interest expense</w:t>
            </w:r>
          </w:p>
        </w:tc>
        <w:tc>
          <w:tcPr>
            <w:tcW w:w="60" w:type="dxa"/>
            <w:tcBorders/>
            <w:shd w:fill="CCEEFF" w:val="clear"/>
            <w:vAlign w:val="center"/>
          </w:tcPr>
          <w:p>
            <w:pPr>
              <w:pStyle w:val="TableContents"/>
              <w:bidi w:val="0"/>
              <w:spacing w:before="0" w:after="283"/>
              <w:ind w:left="0" w:right="0" w:hanging="0"/>
              <w:jc w:val="left"/>
              <w:rPr/>
            </w:pPr>
            <w:r>
              <w:rPr/>
              <w:t> </w:t>
            </w:r>
          </w:p>
        </w:tc>
        <w:tc>
          <w:tcPr>
            <w:tcW w:w="35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82"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526"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ind w:left="0" w:right="0" w:hanging="0"/>
              <w:jc w:val="left"/>
              <w:rPr/>
            </w:pPr>
            <w:r>
              <w:rPr/>
              <w:t> </w:t>
            </w:r>
          </w:p>
        </w:tc>
        <w:tc>
          <w:tcPr>
            <w:tcW w:w="35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82"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77</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326"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17"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483" w:type="dxa"/>
            <w:tcBorders/>
            <w:shd w:fill="CCEEFF" w:val="clear"/>
            <w:vAlign w:val="center"/>
          </w:tcPr>
          <w:p>
            <w:pPr>
              <w:pStyle w:val="TableContents"/>
              <w:bidi w:val="0"/>
              <w:spacing w:before="0" w:after="283"/>
              <w:jc w:val="left"/>
              <w:rPr/>
            </w:pPr>
            <w:r>
              <w:rPr/>
              <w:t> </w:t>
            </w:r>
          </w:p>
        </w:tc>
        <w:tc>
          <w:tcPr>
            <w:tcW w:w="156" w:type="dxa"/>
            <w:tcBorders/>
            <w:shd w:fill="CCEEFF" w:val="clear"/>
            <w:vAlign w:val="center"/>
          </w:tcPr>
          <w:p>
            <w:pPr>
              <w:pStyle w:val="TableContents"/>
              <w:bidi w:val="0"/>
              <w:spacing w:before="0" w:after="283"/>
              <w:ind w:left="0" w:right="0" w:hanging="0"/>
              <w:jc w:val="left"/>
              <w:rPr/>
            </w:pPr>
            <w:r>
              <w:rPr/>
              <w:t> </w:t>
            </w:r>
          </w:p>
        </w:tc>
        <w:tc>
          <w:tcPr>
            <w:tcW w:w="326"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74"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307</w:t>
            </w:r>
          </w:p>
        </w:tc>
        <w:tc>
          <w:tcPr>
            <w:tcW w:w="185" w:type="dxa"/>
            <w:tcBorders/>
            <w:shd w:fill="CCEEFF" w:val="clear"/>
            <w:vAlign w:val="center"/>
          </w:tcPr>
          <w:p>
            <w:pPr>
              <w:pStyle w:val="TableContents"/>
              <w:bidi w:val="0"/>
              <w:spacing w:before="0" w:after="283"/>
              <w:jc w:val="left"/>
              <w:rPr/>
            </w:pPr>
            <w:r>
              <w:rPr/>
              <w:t> </w:t>
            </w:r>
          </w:p>
        </w:tc>
      </w:tr>
      <w:tr>
        <w:trPr/>
        <w:tc>
          <w:tcPr>
            <w:tcW w:w="248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Weighted average interest rate</w:t>
            </w:r>
          </w:p>
        </w:tc>
        <w:tc>
          <w:tcPr>
            <w:tcW w:w="60" w:type="dxa"/>
            <w:tcBorders/>
            <w:shd w:fill="FFFFFF" w:val="clear"/>
            <w:vAlign w:val="center"/>
          </w:tcPr>
          <w:p>
            <w:pPr>
              <w:pStyle w:val="TableContents"/>
              <w:bidi w:val="0"/>
              <w:spacing w:before="0" w:after="283"/>
              <w:jc w:val="left"/>
              <w:rPr/>
            </w:pPr>
            <w:r>
              <w:rPr/>
              <w:t> </w:t>
            </w:r>
          </w:p>
        </w:tc>
        <w:tc>
          <w:tcPr>
            <w:tcW w:w="355" w:type="dxa"/>
            <w:tcBorders/>
            <w:shd w:fill="FFFFFF" w:val="clear"/>
            <w:vAlign w:val="center"/>
          </w:tcPr>
          <w:p>
            <w:pPr>
              <w:pStyle w:val="TableContents"/>
              <w:bidi w:val="0"/>
              <w:spacing w:before="0" w:after="283"/>
              <w:ind w:left="0" w:right="0" w:hanging="0"/>
              <w:jc w:val="left"/>
              <w:rPr/>
            </w:pPr>
            <w:r>
              <w:rPr/>
              <w:t> </w:t>
            </w:r>
          </w:p>
        </w:tc>
        <w:tc>
          <w:tcPr>
            <w:tcW w:w="782"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0.0</w:t>
            </w:r>
          </w:p>
        </w:tc>
        <w:tc>
          <w:tcPr>
            <w:tcW w:w="526"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70" w:type="dxa"/>
            <w:tcBorders/>
            <w:shd w:fill="FFFFFF" w:val="clear"/>
            <w:vAlign w:val="center"/>
          </w:tcPr>
          <w:p>
            <w:pPr>
              <w:pStyle w:val="TableContents"/>
              <w:bidi w:val="0"/>
              <w:spacing w:before="0" w:after="283"/>
              <w:jc w:val="left"/>
              <w:rPr/>
            </w:pPr>
            <w:r>
              <w:rPr/>
              <w:t> </w:t>
            </w:r>
          </w:p>
        </w:tc>
        <w:tc>
          <w:tcPr>
            <w:tcW w:w="355" w:type="dxa"/>
            <w:tcBorders/>
            <w:shd w:fill="FFFFFF" w:val="clear"/>
            <w:vAlign w:val="center"/>
          </w:tcPr>
          <w:p>
            <w:pPr>
              <w:pStyle w:val="TableContents"/>
              <w:bidi w:val="0"/>
              <w:spacing w:before="0" w:after="283"/>
              <w:ind w:left="0" w:right="0" w:hanging="0"/>
              <w:jc w:val="left"/>
              <w:rPr/>
            </w:pPr>
            <w:r>
              <w:rPr/>
              <w:t> </w:t>
            </w:r>
          </w:p>
        </w:tc>
        <w:tc>
          <w:tcPr>
            <w:tcW w:w="782"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9.3</w:t>
            </w:r>
          </w:p>
        </w:tc>
        <w:tc>
          <w:tcPr>
            <w:tcW w:w="1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326" w:type="dxa"/>
            <w:tcBorders/>
            <w:shd w:fill="FFFFFF" w:val="clear"/>
            <w:vAlign w:val="center"/>
          </w:tcPr>
          <w:p>
            <w:pPr>
              <w:pStyle w:val="TableContents"/>
              <w:bidi w:val="0"/>
              <w:spacing w:before="0" w:after="283"/>
              <w:ind w:left="0" w:right="0" w:hanging="0"/>
              <w:jc w:val="left"/>
              <w:rPr/>
            </w:pPr>
            <w:r>
              <w:rPr/>
              <w:t> </w:t>
            </w:r>
          </w:p>
        </w:tc>
        <w:tc>
          <w:tcPr>
            <w:tcW w:w="717"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0.0</w:t>
            </w:r>
          </w:p>
        </w:tc>
        <w:tc>
          <w:tcPr>
            <w:tcW w:w="483"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56" w:type="dxa"/>
            <w:tcBorders/>
            <w:shd w:fill="FFFFFF" w:val="clear"/>
            <w:vAlign w:val="center"/>
          </w:tcPr>
          <w:p>
            <w:pPr>
              <w:pStyle w:val="TableContents"/>
              <w:bidi w:val="0"/>
              <w:spacing w:before="0" w:after="283"/>
              <w:jc w:val="left"/>
              <w:rPr/>
            </w:pPr>
            <w:r>
              <w:rPr/>
              <w:t> </w:t>
            </w:r>
          </w:p>
        </w:tc>
        <w:tc>
          <w:tcPr>
            <w:tcW w:w="326" w:type="dxa"/>
            <w:tcBorders/>
            <w:shd w:fill="FFFFFF" w:val="clear"/>
            <w:vAlign w:val="center"/>
          </w:tcPr>
          <w:p>
            <w:pPr>
              <w:pStyle w:val="TableContents"/>
              <w:bidi w:val="0"/>
              <w:spacing w:before="0" w:after="283"/>
              <w:ind w:left="0" w:right="0" w:hanging="0"/>
              <w:jc w:val="left"/>
              <w:rPr/>
            </w:pPr>
            <w:r>
              <w:rPr/>
              <w:t> </w:t>
            </w:r>
          </w:p>
        </w:tc>
        <w:tc>
          <w:tcPr>
            <w:tcW w:w="874"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9.2</w:t>
            </w:r>
          </w:p>
        </w:tc>
        <w:tc>
          <w:tcPr>
            <w:tcW w:w="1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caps w:val="false"/>
          <w:smallCaps w:val="false"/>
          <w:sz w:val="20"/>
        </w:rPr>
        <w:t xml:space="preserve">The Credit Agreement contains various restrictive covenants and compliance requirements, which include: (i) maintenance of certain financial ratios, as defined in the Credit Agreement tested quarterly, that limit the Company’s ratio of total debt to EBITDAX (as defined in the Credit Agreement) to 3:1 and require its ratio of consolidated current assets to consolidated current liabilities (as each is described in the Credit Agreement) to remain at 1:1 or higher; (ii) restrictions on making restricted payments as defined in the Credit Agreement, including the payment of cash dividends and repurchases of equity interests (subject to certain limited rights to make restricted payments as long as </w:t>
      </w:r>
      <w:r>
        <w:rPr>
          <w:rStyle w:val="Emphasis"/>
          <w:rFonts w:ascii="Times New Roman" w:hAnsi="Times New Roman"/>
          <w:caps w:val="false"/>
          <w:smallCaps w:val="false"/>
          <w:sz w:val="20"/>
        </w:rPr>
        <w:t>no</w:t>
      </w:r>
      <w:r>
        <w:rPr>
          <w:rFonts w:ascii="Times New Roman" w:hAnsi="Times New Roman"/>
          <w:caps w:val="false"/>
          <w:smallCaps w:val="false"/>
          <w:sz w:val="20"/>
        </w:rPr>
        <w:t xml:space="preserve"> event of default has occurred, or would result from the restricted payment, certain financial ratios are met and the borrowing availability after giving pro forma effect to any borrowing to be made on the date of the restricted payment is greater than, or equal to, 20% of the then existing borrowing base); (iii) limits on the incurrence of additional indebtedness; (iv) a prohibition on the entry into commodity swap contracts exceeding a specified percentage of our expected production; and (v) restrictions on the disposition of assets.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caps w:val="false"/>
          <w:smallCaps w:val="false"/>
          <w:sz w:val="20"/>
        </w:rPr>
        <w:t xml:space="preserve">On </w:t>
      </w:r>
      <w:r>
        <w:rPr>
          <w:rStyle w:val="Emphasis"/>
          <w:rFonts w:ascii="Times New Roman" w:hAnsi="Times New Roman"/>
          <w:caps w:val="false"/>
          <w:smallCaps w:val="false"/>
          <w:sz w:val="20"/>
        </w:rPr>
        <w:t xml:space="preserve">September 16, 2025, </w:t>
      </w:r>
      <w:r>
        <w:rPr>
          <w:rFonts w:ascii="Times New Roman" w:hAnsi="Times New Roman"/>
          <w:caps w:val="false"/>
          <w:smallCaps w:val="false"/>
          <w:sz w:val="20"/>
        </w:rPr>
        <w:t xml:space="preserve">effective </w:t>
      </w:r>
      <w:r>
        <w:rPr>
          <w:rStyle w:val="Emphasis"/>
          <w:rFonts w:ascii="Times New Roman" w:hAnsi="Times New Roman"/>
          <w:caps w:val="false"/>
          <w:smallCaps w:val="false"/>
          <w:sz w:val="20"/>
        </w:rPr>
        <w:t xml:space="preserve">August 1, 2025, </w:t>
      </w:r>
      <w:r>
        <w:rPr>
          <w:rFonts w:ascii="Times New Roman" w:hAnsi="Times New Roman"/>
          <w:caps w:val="false"/>
          <w:smallCaps w:val="false"/>
          <w:sz w:val="20"/>
        </w:rPr>
        <w:t xml:space="preserve">the Company entered into a First Amendment to Credit Agreement and Limited Waiver ("Amendment") with FirstBank, as administrative agent for the lenders party thereto, and such lenders. Significant revisions made to the Credit Amendment as a result of the Amendment include extending the maturity date of amounts owed from </w:t>
      </w:r>
      <w:r>
        <w:rPr>
          <w:rStyle w:val="Emphasis"/>
          <w:rFonts w:ascii="Times New Roman" w:hAnsi="Times New Roman"/>
          <w:caps w:val="false"/>
          <w:smallCaps w:val="false"/>
          <w:sz w:val="20"/>
        </w:rPr>
        <w:t xml:space="preserve">January 5, 2026 </w:t>
      </w:r>
      <w:r>
        <w:rPr>
          <w:rFonts w:ascii="Times New Roman" w:hAnsi="Times New Roman"/>
          <w:caps w:val="false"/>
          <w:smallCaps w:val="false"/>
          <w:sz w:val="20"/>
        </w:rPr>
        <w:t xml:space="preserve">to </w:t>
      </w:r>
      <w:r>
        <w:rPr>
          <w:rStyle w:val="Emphasis"/>
          <w:rFonts w:ascii="Times New Roman" w:hAnsi="Times New Roman"/>
          <w:caps w:val="false"/>
          <w:smallCaps w:val="false"/>
          <w:sz w:val="20"/>
        </w:rPr>
        <w:t xml:space="preserve">May 31, 2029, </w:t>
      </w:r>
      <w:r>
        <w:rPr>
          <w:rFonts w:ascii="Times New Roman" w:hAnsi="Times New Roman"/>
          <w:caps w:val="false"/>
          <w:smallCaps w:val="false"/>
          <w:sz w:val="20"/>
        </w:rPr>
        <w:t xml:space="preserve">lowering the borrowing base from $20.0 million to $10.0 million and deferring the next test period for the ratio of total debt to EBITDAX to </w:t>
      </w:r>
      <w:r>
        <w:rPr>
          <w:rStyle w:val="Emphasis"/>
          <w:rFonts w:ascii="Times New Roman" w:hAnsi="Times New Roman"/>
          <w:caps w:val="false"/>
          <w:smallCaps w:val="false"/>
          <w:sz w:val="20"/>
        </w:rPr>
        <w:t xml:space="preserve">March 31, 2026. </w:t>
      </w:r>
      <w:r>
        <w:rPr>
          <w:rFonts w:ascii="Times New Roman" w:hAnsi="Times New Roman"/>
          <w:caps w:val="false"/>
          <w:smallCaps w:val="false"/>
          <w:sz w:val="20"/>
        </w:rPr>
        <w:t xml:space="preserve">The Company expensed $53 thousand of remaining capitalized deferred financing costs associated with the Credit Agreement during the </w:t>
      </w:r>
      <w:r>
        <w:rPr>
          <w:rStyle w:val="Emphasis"/>
          <w:rFonts w:ascii="Times New Roman" w:hAnsi="Times New Roman"/>
          <w:caps w:val="false"/>
          <w:smallCaps w:val="false"/>
          <w:sz w:val="20"/>
        </w:rPr>
        <w:t>third</w:t>
      </w:r>
      <w:r>
        <w:rPr>
          <w:rFonts w:ascii="Times New Roman" w:hAnsi="Times New Roman"/>
          <w:caps w:val="false"/>
          <w:smallCaps w:val="false"/>
          <w:sz w:val="20"/>
        </w:rPr>
        <w:t xml:space="preserve"> quarter of </w:t>
      </w:r>
      <w:r>
        <w:rPr>
          <w:rStyle w:val="Emphasis"/>
          <w:rFonts w:ascii="Times New Roman" w:hAnsi="Times New Roman"/>
          <w:caps w:val="false"/>
          <w:smallCaps w:val="false"/>
          <w:sz w:val="20"/>
        </w:rPr>
        <w:t>2025</w:t>
      </w:r>
      <w:r>
        <w:rPr>
          <w:rFonts w:ascii="Times New Roman" w:hAnsi="Times New Roman"/>
          <w:caps w:val="false"/>
          <w:smallCaps w:val="false"/>
          <w:sz w:val="20"/>
        </w:rPr>
        <w:t xml:space="preserve"> and capitalized $60 thousand of deferred financing costs attributable to the Amendment.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caps w:val="false"/>
          <w:smallCaps w:val="false"/>
          <w:sz w:val="20"/>
        </w:rPr>
        <w:t xml:space="preserve">There were no amounts outstanding on the Amendment or Credit Agreement as of </w:t>
      </w:r>
      <w:r>
        <w:rPr>
          <w:rStyle w:val="Emphasis"/>
          <w:rFonts w:ascii="Times New Roman" w:hAnsi="Times New Roman"/>
          <w:caps w:val="false"/>
          <w:smallCaps w:val="false"/>
          <w:sz w:val="20"/>
        </w:rPr>
        <w:t>September 30, 2025</w:t>
      </w:r>
      <w:r>
        <w:rPr>
          <w:rFonts w:ascii="Times New Roman" w:hAnsi="Times New Roman"/>
          <w:caps w:val="false"/>
          <w:smallCaps w:val="false"/>
          <w:sz w:val="20"/>
        </w:rPr>
        <w:t xml:space="preserve"> and </w:t>
      </w:r>
      <w:r>
        <w:rPr>
          <w:rStyle w:val="Emphasis"/>
          <w:rFonts w:ascii="Times New Roman" w:hAnsi="Times New Roman"/>
          <w:caps w:val="false"/>
          <w:smallCaps w:val="false"/>
          <w:sz w:val="20"/>
        </w:rPr>
        <w:t>December 31, 2024</w:t>
      </w:r>
      <w:r>
        <w:rPr>
          <w:rFonts w:ascii="Times New Roman" w:hAnsi="Times New Roman"/>
          <w:caps w:val="false"/>
          <w:smallCaps w:val="false"/>
          <w:sz w:val="20"/>
        </w:rPr>
        <w:t>, and the Company incurred no cash interest expense. The Company incurs a 0.5 percent fee annually on the unused portion of the amended borrowing base.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pPr>
      <w:r>
        <w:rPr>
          <w:rStyle w:val="Emphasis"/>
          <w:rFonts w:ascii="Times New Roman" w:hAnsi="Times New Roman"/>
          <w:sz w:val="20"/>
        </w:rPr>
        <w:t>11</w:t>
      </w:r>
      <w:r>
        <w:rPr>
          <w:rFonts w:ascii="Times New Roman" w:hAnsi="Times New Roman"/>
          <w:sz w:val="20"/>
        </w:rPr>
        <w:t xml:space="preserve">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0"/>
        <w:jc w:val="left"/>
        <w:rPr/>
      </w:pPr>
      <w:r>
        <w:rPr/>
        <w:t xml:space="preserve">  </w:t>
      </w:r>
    </w:p>
    <w:p>
      <w:pPr>
        <w:pStyle w:val="TextBody"/>
        <w:bidi w:val="0"/>
        <w:spacing w:before="0" w:after="283"/>
        <w:jc w:val="left"/>
        <w:rPr/>
      </w:pPr>
      <w:r>
        <w:rPr/>
        <w:t xml:space="preserve">  </w:t>
      </w:r>
    </w:p>
    <w:p>
      <w:pPr>
        <w:pStyle w:val="TextBody"/>
        <w:bidi w:val="0"/>
        <w:spacing w:before="0" w:after="0"/>
        <w:ind w:left="0" w:right="0" w:hanging="0"/>
        <w:jc w:val="both"/>
        <w:rPr/>
      </w:pPr>
      <w:r>
        <w:rPr>
          <w:rStyle w:val="Emphasis"/>
          <w:rFonts w:ascii="Times New Roman" w:hAnsi="Times New Roman"/>
          <w:b/>
          <w:caps w:val="false"/>
          <w:smallCaps w:val="false"/>
          <w:sz w:val="20"/>
        </w:rPr>
        <w:t>7.</w:t>
      </w:r>
      <w:r>
        <w:rPr>
          <w:rFonts w:ascii="Times New Roman" w:hAnsi="Times New Roman"/>
          <w:b/>
          <w:caps w:val="false"/>
          <w:smallCaps w:val="false"/>
          <w:sz w:val="20"/>
        </w:rPr>
        <w:t xml:space="preserve"> COMMODITY DERIVATIVES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caps w:val="false"/>
          <w:smallCaps w:val="false"/>
          <w:sz w:val="20"/>
        </w:rPr>
        <w:t xml:space="preserve">The Company’s results of operations and cash flows are affected by changes in market prices for crude oil and natural gas. To manage a portion of its exposure to price volatility from producing crude oil and natural gas, the Company </w:t>
      </w:r>
      <w:r>
        <w:rPr>
          <w:rStyle w:val="Emphasis"/>
          <w:rFonts w:ascii="Times New Roman" w:hAnsi="Times New Roman"/>
          <w:caps w:val="false"/>
          <w:smallCaps w:val="false"/>
          <w:sz w:val="20"/>
        </w:rPr>
        <w:t xml:space="preserve">may </w:t>
      </w:r>
      <w:r>
        <w:rPr>
          <w:rFonts w:ascii="Times New Roman" w:hAnsi="Times New Roman"/>
          <w:caps w:val="false"/>
          <w:smallCaps w:val="false"/>
          <w:sz w:val="20"/>
        </w:rPr>
        <w:t xml:space="preserve">enter into commodity derivative contracts to protect against price declines in future periods. The Company does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enter into derivative contracts for speculative or trading purposes. The Company does </w:t>
      </w:r>
      <w:r>
        <w:rPr>
          <w:rStyle w:val="Emphasis"/>
          <w:rFonts w:ascii="Times New Roman" w:hAnsi="Times New Roman"/>
          <w:caps w:val="false"/>
          <w:smallCaps w:val="false"/>
          <w:sz w:val="20"/>
        </w:rPr>
        <w:t>not</w:t>
      </w:r>
      <w:r>
        <w:rPr>
          <w:rFonts w:ascii="Times New Roman" w:hAnsi="Times New Roman"/>
          <w:caps w:val="false"/>
          <w:smallCaps w:val="false"/>
          <w:sz w:val="20"/>
        </w:rPr>
        <w:t> apply hedge accounting. Accordingly, changes in the fair value of the derivative contracts are recorded in the Condensed Consolidated Statements of Operations and are included as a non-cash adjustment to net loss in the operating activities section in the Condensed Consolidated Statements of Cash Flows.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caps w:val="false"/>
          <w:smallCaps w:val="false"/>
          <w:sz w:val="20"/>
        </w:rPr>
        <w:t>As of </w:t>
      </w:r>
      <w:r>
        <w:rPr>
          <w:rStyle w:val="Emphasis"/>
          <w:rFonts w:ascii="Times New Roman" w:hAnsi="Times New Roman"/>
          <w:caps w:val="false"/>
          <w:smallCaps w:val="false"/>
          <w:sz w:val="20"/>
        </w:rPr>
        <w:t xml:space="preserve"> September 30, 2025</w:t>
      </w:r>
      <w:r>
        <w:rPr>
          <w:rFonts w:ascii="Times New Roman" w:hAnsi="Times New Roman"/>
          <w:caps w:val="false"/>
          <w:smallCaps w:val="false"/>
          <w:sz w:val="20"/>
        </w:rPr>
        <w:t xml:space="preserve"> and </w:t>
      </w:r>
      <w:r>
        <w:rPr>
          <w:rStyle w:val="Emphasis"/>
          <w:rFonts w:ascii="Times New Roman" w:hAnsi="Times New Roman"/>
          <w:caps w:val="false"/>
          <w:smallCaps w:val="false"/>
          <w:sz w:val="20"/>
        </w:rPr>
        <w:t>December 31, 2024</w:t>
      </w:r>
      <w:r>
        <w:rPr>
          <w:rFonts w:ascii="Times New Roman" w:hAnsi="Times New Roman"/>
          <w:caps w:val="false"/>
          <w:smallCaps w:val="false"/>
          <w:sz w:val="20"/>
        </w:rPr>
        <w:t>, the Company no longer has any commodity derivative contracts outstanding.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following table summarizes the components of the commodity derivative settlement gain as well as the components of the net commodity derivative (gain) loss line-item presentation in the accompanying Condensed Consolidated Statements of Operations:</w:t>
      </w:r>
    </w:p>
    <w:p>
      <w:pPr>
        <w:pStyle w:val="TextBody"/>
        <w:bidi w:val="0"/>
        <w:spacing w:before="0" w:after="0"/>
        <w:ind w:left="0" w:right="0" w:hanging="0"/>
        <w:jc w:val="left"/>
        <w:rPr>
          <w:caps w:val="false"/>
          <w:smallCaps w:val="false"/>
        </w:rPr>
      </w:pPr>
      <w:r>
        <w:rPr>
          <w:caps w:val="false"/>
          <w:smallCaps w:val="false"/>
        </w:rPr>
        <w:t>  </w:t>
      </w:r>
    </w:p>
    <w:tbl>
      <w:tblPr>
        <w:tblW w:w="9683" w:type="dxa"/>
        <w:jc w:val="left"/>
        <w:tblInd w:w="0" w:type="dxa"/>
        <w:tblLayout w:type="fixed"/>
        <w:tblCellMar>
          <w:top w:w="0" w:type="dxa"/>
          <w:left w:w="0" w:type="dxa"/>
          <w:bottom w:w="0" w:type="dxa"/>
          <w:right w:w="0" w:type="dxa"/>
        </w:tblCellMar>
      </w:tblPr>
      <w:tblGrid>
        <w:gridCol w:w="3590"/>
        <w:gridCol w:w="60"/>
        <w:gridCol w:w="397"/>
        <w:gridCol w:w="254"/>
        <w:gridCol w:w="190"/>
        <w:gridCol w:w="190"/>
        <w:gridCol w:w="397"/>
        <w:gridCol w:w="1543"/>
        <w:gridCol w:w="60"/>
        <w:gridCol w:w="60"/>
        <w:gridCol w:w="385"/>
        <w:gridCol w:w="246"/>
        <w:gridCol w:w="185"/>
        <w:gridCol w:w="185"/>
        <w:gridCol w:w="385"/>
        <w:gridCol w:w="1496"/>
        <w:gridCol w:w="60"/>
      </w:tblGrid>
      <w:tr>
        <w:trPr/>
        <w:tc>
          <w:tcPr>
            <w:tcW w:w="359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971"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Three Months Ended September 30,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882"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Nine Months Ended September 30,</w:t>
            </w:r>
          </w:p>
        </w:tc>
        <w:tc>
          <w:tcPr>
            <w:tcW w:w="60" w:type="dxa"/>
            <w:tcBorders/>
            <w:shd w:fill="FFFFFF" w:val="clear"/>
            <w:vAlign w:val="center"/>
          </w:tcPr>
          <w:p>
            <w:pPr>
              <w:pStyle w:val="TableContents"/>
              <w:bidi w:val="0"/>
              <w:spacing w:before="0" w:after="283"/>
              <w:jc w:val="left"/>
              <w:rPr/>
            </w:pPr>
            <w:r>
              <w:rPr/>
              <w:t> </w:t>
            </w:r>
          </w:p>
        </w:tc>
      </w:tr>
      <w:tr>
        <w:trPr/>
        <w:tc>
          <w:tcPr>
            <w:tcW w:w="359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651"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2025</w:t>
            </w:r>
          </w:p>
        </w:tc>
        <w:tc>
          <w:tcPr>
            <w:tcW w:w="190" w:type="dxa"/>
            <w:tcBorders/>
            <w:shd w:fill="FFFFFF" w:val="clear"/>
            <w:vAlign w:val="center"/>
          </w:tcPr>
          <w:p>
            <w:pPr>
              <w:pStyle w:val="TableContents"/>
              <w:bidi w:val="0"/>
              <w:spacing w:before="0" w:after="283"/>
              <w:jc w:val="left"/>
              <w:rPr/>
            </w:pPr>
            <w:r>
              <w:rPr/>
              <w:t> </w:t>
            </w:r>
          </w:p>
        </w:tc>
        <w:tc>
          <w:tcPr>
            <w:tcW w:w="190" w:type="dxa"/>
            <w:tcBorders/>
            <w:shd w:fill="FFFFFF" w:val="clear"/>
            <w:vAlign w:val="center"/>
          </w:tcPr>
          <w:p>
            <w:pPr>
              <w:pStyle w:val="TableContents"/>
              <w:bidi w:val="0"/>
              <w:spacing w:before="0" w:after="283"/>
              <w:ind w:left="0" w:right="0" w:hanging="0"/>
              <w:jc w:val="left"/>
              <w:rPr/>
            </w:pPr>
            <w:r>
              <w:rPr/>
              <w:t> </w:t>
            </w:r>
          </w:p>
        </w:tc>
        <w:tc>
          <w:tcPr>
            <w:tcW w:w="194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2024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631"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2025</w:t>
            </w:r>
          </w:p>
        </w:tc>
        <w:tc>
          <w:tcPr>
            <w:tcW w:w="185" w:type="dxa"/>
            <w:tcBorders/>
            <w:shd w:fill="FFFFFF" w:val="clear"/>
            <w:vAlign w:val="center"/>
          </w:tcPr>
          <w:p>
            <w:pPr>
              <w:pStyle w:val="TableContents"/>
              <w:bidi w:val="0"/>
              <w:spacing w:before="0" w:after="283"/>
              <w:jc w:val="left"/>
              <w:rPr/>
            </w:pPr>
            <w:r>
              <w:rPr/>
              <w:t> </w:t>
            </w:r>
          </w:p>
        </w:tc>
        <w:tc>
          <w:tcPr>
            <w:tcW w:w="185" w:type="dxa"/>
            <w:tcBorders/>
            <w:shd w:fill="FFFFFF" w:val="clear"/>
            <w:vAlign w:val="center"/>
          </w:tcPr>
          <w:p>
            <w:pPr>
              <w:pStyle w:val="TableContents"/>
              <w:bidi w:val="0"/>
              <w:spacing w:before="0" w:after="283"/>
              <w:ind w:left="0" w:right="0" w:hanging="0"/>
              <w:jc w:val="left"/>
              <w:rPr/>
            </w:pPr>
            <w:r>
              <w:rPr/>
              <w:t> </w:t>
            </w:r>
          </w:p>
        </w:tc>
        <w:tc>
          <w:tcPr>
            <w:tcW w:w="1881"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2024</w:t>
            </w:r>
          </w:p>
        </w:tc>
        <w:tc>
          <w:tcPr>
            <w:tcW w:w="60" w:type="dxa"/>
            <w:tcBorders/>
            <w:shd w:fill="FFFFFF" w:val="clear"/>
            <w:vAlign w:val="center"/>
          </w:tcPr>
          <w:p>
            <w:pPr>
              <w:pStyle w:val="TableContents"/>
              <w:bidi w:val="0"/>
              <w:spacing w:before="0" w:after="283"/>
              <w:jc w:val="left"/>
              <w:rPr/>
            </w:pPr>
            <w:r>
              <w:rPr/>
              <w:t> </w:t>
            </w:r>
          </w:p>
        </w:tc>
      </w:tr>
      <w:tr>
        <w:trPr/>
        <w:tc>
          <w:tcPr>
            <w:tcW w:w="359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971" w:type="dxa"/>
            <w:gridSpan w:val="6"/>
            <w:tcBorders/>
            <w:shd w:fill="FFFFFF" w:val="cle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(in thousands)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85" w:type="dxa"/>
            <w:tcBorders/>
            <w:shd w:fill="FFFFFF" w:val="clear"/>
            <w:vAlign w:val="center"/>
          </w:tcPr>
          <w:p>
            <w:pPr>
              <w:pStyle w:val="TableContents"/>
              <w:bidi w:val="0"/>
              <w:spacing w:before="0" w:after="283"/>
              <w:jc w:val="left"/>
              <w:rPr/>
            </w:pPr>
            <w:r>
              <w:rPr/>
              <w:t> </w:t>
            </w:r>
          </w:p>
        </w:tc>
        <w:tc>
          <w:tcPr>
            <w:tcW w:w="246" w:type="dxa"/>
            <w:tcBorders/>
            <w:shd w:fill="FFFFFF" w:val="clear"/>
            <w:vAlign w:val="center"/>
          </w:tcPr>
          <w:p>
            <w:pPr>
              <w:pStyle w:val="TableContents"/>
              <w:bidi w:val="0"/>
              <w:spacing w:before="0" w:after="283"/>
              <w:jc w:val="center"/>
              <w:rPr/>
            </w:pPr>
            <w:r>
              <w:rPr/>
              <w:t> </w:t>
            </w:r>
          </w:p>
        </w:tc>
        <w:tc>
          <w:tcPr>
            <w:tcW w:w="185" w:type="dxa"/>
            <w:tcBorders/>
            <w:shd w:fill="FFFFFF" w:val="clear"/>
            <w:vAlign w:val="center"/>
          </w:tcPr>
          <w:p>
            <w:pPr>
              <w:pStyle w:val="TableContents"/>
              <w:bidi w:val="0"/>
              <w:spacing w:before="0" w:after="283"/>
              <w:jc w:val="left"/>
              <w:rPr/>
            </w:pPr>
            <w:r>
              <w:rPr/>
              <w:t> </w:t>
            </w:r>
          </w:p>
        </w:tc>
        <w:tc>
          <w:tcPr>
            <w:tcW w:w="185" w:type="dxa"/>
            <w:tcBorders/>
            <w:shd w:fill="FFFFFF" w:val="clear"/>
            <w:vAlign w:val="center"/>
          </w:tcPr>
          <w:p>
            <w:pPr>
              <w:pStyle w:val="TableContents"/>
              <w:bidi w:val="0"/>
              <w:spacing w:before="0" w:after="283"/>
              <w:jc w:val="left"/>
              <w:rPr/>
            </w:pPr>
            <w:r>
              <w:rPr/>
              <w:t> </w:t>
            </w:r>
          </w:p>
        </w:tc>
        <w:tc>
          <w:tcPr>
            <w:tcW w:w="385" w:type="dxa"/>
            <w:tcBorders/>
            <w:shd w:fill="FFFFFF" w:val="clear"/>
            <w:vAlign w:val="center"/>
          </w:tcPr>
          <w:p>
            <w:pPr>
              <w:pStyle w:val="TableContents"/>
              <w:bidi w:val="0"/>
              <w:spacing w:before="0" w:after="283"/>
              <w:jc w:val="left"/>
              <w:rPr/>
            </w:pPr>
            <w:r>
              <w:rPr/>
              <w:t> </w:t>
            </w:r>
          </w:p>
        </w:tc>
        <w:tc>
          <w:tcPr>
            <w:tcW w:w="1496"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r>
      <w:tr>
        <w:trPr/>
        <w:tc>
          <w:tcPr>
            <w:tcW w:w="359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Commodity derivative settlement gain :</w:t>
            </w:r>
          </w:p>
        </w:tc>
        <w:tc>
          <w:tcPr>
            <w:tcW w:w="60" w:type="dxa"/>
            <w:tcBorders/>
            <w:shd w:fill="CCEEFF" w:val="clear"/>
            <w:vAlign w:val="center"/>
          </w:tcPr>
          <w:p>
            <w:pPr>
              <w:pStyle w:val="TableContents"/>
              <w:bidi w:val="0"/>
              <w:spacing w:before="0" w:after="283"/>
              <w:jc w:val="left"/>
              <w:rPr/>
            </w:pPr>
            <w:r>
              <w:rPr/>
              <w:t> </w:t>
            </w:r>
          </w:p>
        </w:tc>
        <w:tc>
          <w:tcPr>
            <w:tcW w:w="397" w:type="dxa"/>
            <w:tcBorders/>
            <w:shd w:fill="CCEEFF" w:val="clear"/>
            <w:vAlign w:val="center"/>
          </w:tcPr>
          <w:p>
            <w:pPr>
              <w:pStyle w:val="TableContents"/>
              <w:bidi w:val="0"/>
              <w:spacing w:before="0" w:after="283"/>
              <w:jc w:val="left"/>
              <w:rPr/>
            </w:pPr>
            <w:r>
              <w:rPr/>
              <w:t> </w:t>
            </w:r>
          </w:p>
        </w:tc>
        <w:tc>
          <w:tcPr>
            <w:tcW w:w="254" w:type="dxa"/>
            <w:tcBorders/>
            <w:shd w:fill="CCEEFF" w:val="clear"/>
            <w:vAlign w:val="center"/>
          </w:tcPr>
          <w:p>
            <w:pPr>
              <w:pStyle w:val="TableContents"/>
              <w:bidi w:val="0"/>
              <w:spacing w:before="0" w:after="283"/>
              <w:jc w:val="left"/>
              <w:rPr/>
            </w:pPr>
            <w:r>
              <w:rPr/>
              <w:t> </w:t>
            </w:r>
          </w:p>
        </w:tc>
        <w:tc>
          <w:tcPr>
            <w:tcW w:w="190" w:type="dxa"/>
            <w:tcBorders/>
            <w:shd w:fill="CCEEFF" w:val="clear"/>
            <w:vAlign w:val="center"/>
          </w:tcPr>
          <w:p>
            <w:pPr>
              <w:pStyle w:val="TableContents"/>
              <w:bidi w:val="0"/>
              <w:spacing w:before="0" w:after="283"/>
              <w:jc w:val="left"/>
              <w:rPr/>
            </w:pPr>
            <w:r>
              <w:rPr/>
              <w:t> </w:t>
            </w:r>
          </w:p>
        </w:tc>
        <w:tc>
          <w:tcPr>
            <w:tcW w:w="190" w:type="dxa"/>
            <w:tcBorders/>
            <w:shd w:fill="CCEEFF" w:val="clear"/>
            <w:vAlign w:val="center"/>
          </w:tcPr>
          <w:p>
            <w:pPr>
              <w:pStyle w:val="TableContents"/>
              <w:bidi w:val="0"/>
              <w:spacing w:before="0" w:after="283"/>
              <w:jc w:val="left"/>
              <w:rPr/>
            </w:pPr>
            <w:r>
              <w:rPr/>
              <w:t> </w:t>
            </w:r>
          </w:p>
        </w:tc>
        <w:tc>
          <w:tcPr>
            <w:tcW w:w="397" w:type="dxa"/>
            <w:tcBorders/>
            <w:shd w:fill="CCEEFF" w:val="clear"/>
            <w:vAlign w:val="center"/>
          </w:tcPr>
          <w:p>
            <w:pPr>
              <w:pStyle w:val="TableContents"/>
              <w:bidi w:val="0"/>
              <w:spacing w:before="0" w:after="283"/>
              <w:jc w:val="left"/>
              <w:rPr/>
            </w:pPr>
            <w:r>
              <w:rPr/>
              <w:t> </w:t>
            </w:r>
          </w:p>
        </w:tc>
        <w:tc>
          <w:tcPr>
            <w:tcW w:w="1543"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85" w:type="dxa"/>
            <w:tcBorders/>
            <w:shd w:fill="CCEEFF" w:val="clear"/>
            <w:vAlign w:val="center"/>
          </w:tcPr>
          <w:p>
            <w:pPr>
              <w:pStyle w:val="TableContents"/>
              <w:bidi w:val="0"/>
              <w:spacing w:before="0" w:after="283"/>
              <w:jc w:val="left"/>
              <w:rPr/>
            </w:pPr>
            <w:r>
              <w:rPr/>
              <w:t> </w:t>
            </w:r>
          </w:p>
        </w:tc>
        <w:tc>
          <w:tcPr>
            <w:tcW w:w="246" w:type="dxa"/>
            <w:tcBorders/>
            <w:shd w:fill="CCEEFF" w:val="clear"/>
            <w:vAlign w:val="center"/>
          </w:tcPr>
          <w:p>
            <w:pPr>
              <w:pStyle w:val="TableContents"/>
              <w:bidi w:val="0"/>
              <w:spacing w:before="0" w:after="283"/>
              <w:jc w:val="left"/>
              <w:rPr/>
            </w:pPr>
            <w:r>
              <w:rPr/>
              <w:t> </w:t>
            </w:r>
          </w:p>
        </w:tc>
        <w:tc>
          <w:tcPr>
            <w:tcW w:w="185" w:type="dxa"/>
            <w:tcBorders/>
            <w:shd w:fill="CCEEFF" w:val="clear"/>
            <w:vAlign w:val="center"/>
          </w:tcPr>
          <w:p>
            <w:pPr>
              <w:pStyle w:val="TableContents"/>
              <w:bidi w:val="0"/>
              <w:spacing w:before="0" w:after="283"/>
              <w:jc w:val="left"/>
              <w:rPr/>
            </w:pPr>
            <w:r>
              <w:rPr/>
              <w:t> </w:t>
            </w:r>
          </w:p>
        </w:tc>
        <w:tc>
          <w:tcPr>
            <w:tcW w:w="185" w:type="dxa"/>
            <w:tcBorders/>
            <w:shd w:fill="CCEEFF" w:val="clear"/>
            <w:vAlign w:val="center"/>
          </w:tcPr>
          <w:p>
            <w:pPr>
              <w:pStyle w:val="TableContents"/>
              <w:bidi w:val="0"/>
              <w:spacing w:before="0" w:after="283"/>
              <w:jc w:val="left"/>
              <w:rPr/>
            </w:pPr>
            <w:r>
              <w:rPr/>
              <w:t> </w:t>
            </w:r>
          </w:p>
        </w:tc>
        <w:tc>
          <w:tcPr>
            <w:tcW w:w="385" w:type="dxa"/>
            <w:tcBorders/>
            <w:shd w:fill="CCEEFF" w:val="clear"/>
            <w:vAlign w:val="center"/>
          </w:tcPr>
          <w:p>
            <w:pPr>
              <w:pStyle w:val="TableContents"/>
              <w:bidi w:val="0"/>
              <w:spacing w:before="0" w:after="283"/>
              <w:jc w:val="left"/>
              <w:rPr/>
            </w:pPr>
            <w:r>
              <w:rPr/>
              <w:t> </w:t>
            </w:r>
          </w:p>
        </w:tc>
        <w:tc>
          <w:tcPr>
            <w:tcW w:w="1496"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r>
      <w:tr>
        <w:trPr/>
        <w:tc>
          <w:tcPr>
            <w:tcW w:w="3590"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Oil contracts</w:t>
            </w:r>
          </w:p>
        </w:tc>
        <w:tc>
          <w:tcPr>
            <w:tcW w:w="60" w:type="dxa"/>
            <w:tcBorders/>
            <w:shd w:fill="FFFFFF" w:val="clear"/>
            <w:vAlign w:val="center"/>
          </w:tcPr>
          <w:p>
            <w:pPr>
              <w:pStyle w:val="TableContents"/>
              <w:bidi w:val="0"/>
              <w:spacing w:before="0" w:after="283"/>
              <w:ind w:left="0" w:right="0" w:hanging="0"/>
              <w:jc w:val="left"/>
              <w:rPr/>
            </w:pPr>
            <w:r>
              <w:rPr/>
              <w:t> </w:t>
            </w:r>
          </w:p>
        </w:tc>
        <w:tc>
          <w:tcPr>
            <w:tcW w:w="397"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254"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190" w:type="dxa"/>
            <w:tcBorders/>
            <w:shd w:fill="FFFFFF" w:val="clear"/>
            <w:vAlign w:val="center"/>
          </w:tcPr>
          <w:p>
            <w:pPr>
              <w:pStyle w:val="TableContents"/>
              <w:bidi w:val="0"/>
              <w:spacing w:before="0" w:after="283"/>
              <w:jc w:val="left"/>
              <w:rPr/>
            </w:pPr>
            <w:r>
              <w:rPr/>
              <w:t> </w:t>
            </w:r>
          </w:p>
        </w:tc>
        <w:tc>
          <w:tcPr>
            <w:tcW w:w="190" w:type="dxa"/>
            <w:tcBorders/>
            <w:shd w:fill="FFFFFF" w:val="clear"/>
            <w:vAlign w:val="center"/>
          </w:tcPr>
          <w:p>
            <w:pPr>
              <w:pStyle w:val="TableContents"/>
              <w:bidi w:val="0"/>
              <w:spacing w:before="0" w:after="283"/>
              <w:ind w:left="0" w:right="0" w:hanging="0"/>
              <w:jc w:val="left"/>
              <w:rPr/>
            </w:pPr>
            <w:r>
              <w:rPr/>
              <w:t> </w:t>
            </w:r>
          </w:p>
        </w:tc>
        <w:tc>
          <w:tcPr>
            <w:tcW w:w="397"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543"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1,856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38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246"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185" w:type="dxa"/>
            <w:tcBorders/>
            <w:shd w:fill="FFFFFF" w:val="clear"/>
            <w:vAlign w:val="center"/>
          </w:tcPr>
          <w:p>
            <w:pPr>
              <w:pStyle w:val="TableContents"/>
              <w:bidi w:val="0"/>
              <w:spacing w:before="0" w:after="283"/>
              <w:jc w:val="left"/>
              <w:rPr/>
            </w:pPr>
            <w:r>
              <w:rPr/>
              <w:t> </w:t>
            </w:r>
          </w:p>
        </w:tc>
        <w:tc>
          <w:tcPr>
            <w:tcW w:w="185" w:type="dxa"/>
            <w:tcBorders/>
            <w:shd w:fill="FFFFFF" w:val="clear"/>
            <w:vAlign w:val="center"/>
          </w:tcPr>
          <w:p>
            <w:pPr>
              <w:pStyle w:val="TableContents"/>
              <w:bidi w:val="0"/>
              <w:spacing w:before="0" w:after="283"/>
              <w:ind w:left="0" w:right="0" w:hanging="0"/>
              <w:jc w:val="left"/>
              <w:rPr/>
            </w:pPr>
            <w:r>
              <w:rPr/>
              <w:t> </w:t>
            </w:r>
          </w:p>
        </w:tc>
        <w:tc>
          <w:tcPr>
            <w:tcW w:w="38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496"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2,381</w:t>
            </w:r>
          </w:p>
        </w:tc>
        <w:tc>
          <w:tcPr>
            <w:tcW w:w="60" w:type="dxa"/>
            <w:tcBorders/>
            <w:shd w:fill="FFFFFF" w:val="clear"/>
            <w:vAlign w:val="center"/>
          </w:tcPr>
          <w:p>
            <w:pPr>
              <w:pStyle w:val="TableContents"/>
              <w:bidi w:val="0"/>
              <w:spacing w:before="0" w:after="283"/>
              <w:jc w:val="left"/>
              <w:rPr/>
            </w:pPr>
            <w:r>
              <w:rPr/>
              <w:t> </w:t>
            </w:r>
          </w:p>
        </w:tc>
      </w:tr>
      <w:tr>
        <w:trPr/>
        <w:tc>
          <w:tcPr>
            <w:tcW w:w="3590" w:type="dxa"/>
            <w:tcBorders/>
            <w:shd w:fill="CCEE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commodity derivative settlement gain</w:t>
            </w:r>
          </w:p>
        </w:tc>
        <w:tc>
          <w:tcPr>
            <w:tcW w:w="60" w:type="dxa"/>
            <w:tcBorders/>
            <w:shd w:fill="CCEEFF" w:val="clear"/>
            <w:vAlign w:val="center"/>
          </w:tcPr>
          <w:p>
            <w:pPr>
              <w:pStyle w:val="TableContents"/>
              <w:bidi w:val="0"/>
              <w:spacing w:before="0" w:after="283"/>
              <w:ind w:left="0" w:right="0" w:hanging="0"/>
              <w:jc w:val="left"/>
              <w:rPr/>
            </w:pPr>
            <w:r>
              <w:rPr/>
              <w:t> </w:t>
            </w:r>
          </w:p>
        </w:tc>
        <w:tc>
          <w:tcPr>
            <w:tcW w:w="397"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254"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190" w:type="dxa"/>
            <w:tcBorders/>
            <w:shd w:fill="CCEEFF" w:val="clear"/>
            <w:vAlign w:val="center"/>
          </w:tcPr>
          <w:p>
            <w:pPr>
              <w:pStyle w:val="TableContents"/>
              <w:bidi w:val="0"/>
              <w:spacing w:before="0" w:after="283"/>
              <w:jc w:val="left"/>
              <w:rPr/>
            </w:pPr>
            <w:r>
              <w:rPr/>
              <w:t> </w:t>
            </w:r>
          </w:p>
        </w:tc>
        <w:tc>
          <w:tcPr>
            <w:tcW w:w="190" w:type="dxa"/>
            <w:tcBorders/>
            <w:shd w:fill="CCEEFF" w:val="clear"/>
            <w:vAlign w:val="center"/>
          </w:tcPr>
          <w:p>
            <w:pPr>
              <w:pStyle w:val="TableContents"/>
              <w:bidi w:val="0"/>
              <w:spacing w:before="0" w:after="283"/>
              <w:ind w:left="0" w:right="0" w:hanging="0"/>
              <w:jc w:val="left"/>
              <w:rPr/>
            </w:pPr>
            <w:r>
              <w:rPr/>
              <w:t> </w:t>
            </w:r>
          </w:p>
        </w:tc>
        <w:tc>
          <w:tcPr>
            <w:tcW w:w="397"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543"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1,856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38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246"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185" w:type="dxa"/>
            <w:tcBorders/>
            <w:shd w:fill="CCEEFF" w:val="clear"/>
            <w:vAlign w:val="center"/>
          </w:tcPr>
          <w:p>
            <w:pPr>
              <w:pStyle w:val="TableContents"/>
              <w:bidi w:val="0"/>
              <w:spacing w:before="0" w:after="283"/>
              <w:jc w:val="left"/>
              <w:rPr/>
            </w:pPr>
            <w:r>
              <w:rPr/>
              <w:t> </w:t>
            </w:r>
          </w:p>
        </w:tc>
        <w:tc>
          <w:tcPr>
            <w:tcW w:w="185" w:type="dxa"/>
            <w:tcBorders/>
            <w:shd w:fill="CCEEFF" w:val="clear"/>
            <w:vAlign w:val="center"/>
          </w:tcPr>
          <w:p>
            <w:pPr>
              <w:pStyle w:val="TableContents"/>
              <w:bidi w:val="0"/>
              <w:spacing w:before="0" w:after="283"/>
              <w:ind w:left="0" w:right="0" w:hanging="0"/>
              <w:jc w:val="left"/>
              <w:rPr/>
            </w:pPr>
            <w:r>
              <w:rPr/>
              <w:t> </w:t>
            </w:r>
          </w:p>
        </w:tc>
        <w:tc>
          <w:tcPr>
            <w:tcW w:w="38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496"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2,381</w:t>
            </w:r>
          </w:p>
        </w:tc>
        <w:tc>
          <w:tcPr>
            <w:tcW w:w="60" w:type="dxa"/>
            <w:tcBorders/>
            <w:shd w:fill="CCEEFF" w:val="clear"/>
            <w:vAlign w:val="center"/>
          </w:tcPr>
          <w:p>
            <w:pPr>
              <w:pStyle w:val="TableContents"/>
              <w:bidi w:val="0"/>
              <w:spacing w:before="0" w:after="283"/>
              <w:jc w:val="left"/>
              <w:rPr/>
            </w:pPr>
            <w:r>
              <w:rPr/>
              <w:t> </w:t>
            </w:r>
          </w:p>
        </w:tc>
      </w:tr>
      <w:tr>
        <w:trPr/>
        <w:tc>
          <w:tcPr>
            <w:tcW w:w="359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97" w:type="dxa"/>
            <w:tcBorders/>
            <w:shd w:fill="FFFFFF" w:val="clear"/>
            <w:vAlign w:val="center"/>
          </w:tcPr>
          <w:p>
            <w:pPr>
              <w:pStyle w:val="TableContents"/>
              <w:bidi w:val="0"/>
              <w:spacing w:before="0" w:after="283"/>
              <w:jc w:val="left"/>
              <w:rPr/>
            </w:pPr>
            <w:r>
              <w:rPr/>
              <w:t> </w:t>
            </w:r>
          </w:p>
        </w:tc>
        <w:tc>
          <w:tcPr>
            <w:tcW w:w="254" w:type="dxa"/>
            <w:tcBorders/>
            <w:shd w:fill="FFFFFF" w:val="clear"/>
            <w:vAlign w:val="center"/>
          </w:tcPr>
          <w:p>
            <w:pPr>
              <w:pStyle w:val="TableContents"/>
              <w:bidi w:val="0"/>
              <w:spacing w:before="0" w:after="283"/>
              <w:jc w:val="left"/>
              <w:rPr/>
            </w:pPr>
            <w:r>
              <w:rPr/>
              <w:t> </w:t>
            </w:r>
          </w:p>
        </w:tc>
        <w:tc>
          <w:tcPr>
            <w:tcW w:w="190" w:type="dxa"/>
            <w:tcBorders/>
            <w:shd w:fill="FFFFFF" w:val="clear"/>
            <w:vAlign w:val="center"/>
          </w:tcPr>
          <w:p>
            <w:pPr>
              <w:pStyle w:val="TableContents"/>
              <w:bidi w:val="0"/>
              <w:spacing w:before="0" w:after="283"/>
              <w:jc w:val="left"/>
              <w:rPr/>
            </w:pPr>
            <w:r>
              <w:rPr/>
              <w:t> </w:t>
            </w:r>
          </w:p>
        </w:tc>
        <w:tc>
          <w:tcPr>
            <w:tcW w:w="190" w:type="dxa"/>
            <w:tcBorders/>
            <w:shd w:fill="FFFFFF" w:val="clear"/>
            <w:vAlign w:val="center"/>
          </w:tcPr>
          <w:p>
            <w:pPr>
              <w:pStyle w:val="TableContents"/>
              <w:bidi w:val="0"/>
              <w:spacing w:before="0" w:after="283"/>
              <w:jc w:val="left"/>
              <w:rPr/>
            </w:pPr>
            <w:r>
              <w:rPr/>
              <w:t> </w:t>
            </w:r>
          </w:p>
        </w:tc>
        <w:tc>
          <w:tcPr>
            <w:tcW w:w="397" w:type="dxa"/>
            <w:tcBorders/>
            <w:shd w:fill="FFFFFF" w:val="clear"/>
            <w:vAlign w:val="center"/>
          </w:tcPr>
          <w:p>
            <w:pPr>
              <w:pStyle w:val="TableContents"/>
              <w:bidi w:val="0"/>
              <w:spacing w:before="0" w:after="283"/>
              <w:jc w:val="left"/>
              <w:rPr/>
            </w:pPr>
            <w:r>
              <w:rPr/>
              <w:t> </w:t>
            </w:r>
          </w:p>
        </w:tc>
        <w:tc>
          <w:tcPr>
            <w:tcW w:w="1543"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85" w:type="dxa"/>
            <w:tcBorders/>
            <w:shd w:fill="FFFFFF" w:val="clear"/>
            <w:vAlign w:val="center"/>
          </w:tcPr>
          <w:p>
            <w:pPr>
              <w:pStyle w:val="TableContents"/>
              <w:bidi w:val="0"/>
              <w:spacing w:before="0" w:after="283"/>
              <w:jc w:val="left"/>
              <w:rPr/>
            </w:pPr>
            <w:r>
              <w:rPr/>
              <w:t> </w:t>
            </w:r>
          </w:p>
        </w:tc>
        <w:tc>
          <w:tcPr>
            <w:tcW w:w="246" w:type="dxa"/>
            <w:tcBorders/>
            <w:shd w:fill="FFFFFF" w:val="clear"/>
            <w:vAlign w:val="center"/>
          </w:tcPr>
          <w:p>
            <w:pPr>
              <w:pStyle w:val="TableContents"/>
              <w:bidi w:val="0"/>
              <w:spacing w:before="0" w:after="283"/>
              <w:jc w:val="left"/>
              <w:rPr/>
            </w:pPr>
            <w:r>
              <w:rPr/>
              <w:t> </w:t>
            </w:r>
          </w:p>
        </w:tc>
        <w:tc>
          <w:tcPr>
            <w:tcW w:w="185" w:type="dxa"/>
            <w:tcBorders/>
            <w:shd w:fill="FFFFFF" w:val="clear"/>
            <w:vAlign w:val="center"/>
          </w:tcPr>
          <w:p>
            <w:pPr>
              <w:pStyle w:val="TableContents"/>
              <w:bidi w:val="0"/>
              <w:spacing w:before="0" w:after="283"/>
              <w:jc w:val="left"/>
              <w:rPr/>
            </w:pPr>
            <w:r>
              <w:rPr/>
              <w:t> </w:t>
            </w:r>
          </w:p>
        </w:tc>
        <w:tc>
          <w:tcPr>
            <w:tcW w:w="185" w:type="dxa"/>
            <w:tcBorders/>
            <w:shd w:fill="FFFFFF" w:val="clear"/>
            <w:vAlign w:val="center"/>
          </w:tcPr>
          <w:p>
            <w:pPr>
              <w:pStyle w:val="TableContents"/>
              <w:bidi w:val="0"/>
              <w:spacing w:before="0" w:after="283"/>
              <w:jc w:val="left"/>
              <w:rPr/>
            </w:pPr>
            <w:r>
              <w:rPr/>
              <w:t> </w:t>
            </w:r>
          </w:p>
        </w:tc>
        <w:tc>
          <w:tcPr>
            <w:tcW w:w="385" w:type="dxa"/>
            <w:tcBorders/>
            <w:shd w:fill="FFFFFF" w:val="clear"/>
            <w:vAlign w:val="center"/>
          </w:tcPr>
          <w:p>
            <w:pPr>
              <w:pStyle w:val="TableContents"/>
              <w:bidi w:val="0"/>
              <w:spacing w:before="0" w:after="283"/>
              <w:jc w:val="left"/>
              <w:rPr/>
            </w:pPr>
            <w:r>
              <w:rPr/>
              <w:t> </w:t>
            </w:r>
          </w:p>
        </w:tc>
        <w:tc>
          <w:tcPr>
            <w:tcW w:w="1496"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r>
      <w:tr>
        <w:trPr/>
        <w:tc>
          <w:tcPr>
            <w:tcW w:w="359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net commodity derivative gain :</w:t>
            </w:r>
          </w:p>
        </w:tc>
        <w:tc>
          <w:tcPr>
            <w:tcW w:w="60" w:type="dxa"/>
            <w:tcBorders/>
            <w:shd w:fill="CCEEFF" w:val="clear"/>
            <w:vAlign w:val="center"/>
          </w:tcPr>
          <w:p>
            <w:pPr>
              <w:pStyle w:val="TableContents"/>
              <w:bidi w:val="0"/>
              <w:spacing w:before="0" w:after="283"/>
              <w:jc w:val="left"/>
              <w:rPr/>
            </w:pPr>
            <w:r>
              <w:rPr/>
              <w:t> </w:t>
            </w:r>
          </w:p>
        </w:tc>
        <w:tc>
          <w:tcPr>
            <w:tcW w:w="397" w:type="dxa"/>
            <w:tcBorders/>
            <w:shd w:fill="CCEEFF" w:val="clear"/>
            <w:vAlign w:val="center"/>
          </w:tcPr>
          <w:p>
            <w:pPr>
              <w:pStyle w:val="TableContents"/>
              <w:bidi w:val="0"/>
              <w:spacing w:before="0" w:after="283"/>
              <w:jc w:val="left"/>
              <w:rPr/>
            </w:pPr>
            <w:r>
              <w:rPr/>
              <w:t> </w:t>
            </w:r>
          </w:p>
        </w:tc>
        <w:tc>
          <w:tcPr>
            <w:tcW w:w="254" w:type="dxa"/>
            <w:tcBorders/>
            <w:shd w:fill="CCEEFF" w:val="clear"/>
            <w:vAlign w:val="center"/>
          </w:tcPr>
          <w:p>
            <w:pPr>
              <w:pStyle w:val="TableContents"/>
              <w:bidi w:val="0"/>
              <w:spacing w:before="0" w:after="283"/>
              <w:jc w:val="left"/>
              <w:rPr/>
            </w:pPr>
            <w:r>
              <w:rPr/>
              <w:t> </w:t>
            </w:r>
          </w:p>
        </w:tc>
        <w:tc>
          <w:tcPr>
            <w:tcW w:w="190" w:type="dxa"/>
            <w:tcBorders/>
            <w:shd w:fill="CCEEFF" w:val="clear"/>
            <w:vAlign w:val="center"/>
          </w:tcPr>
          <w:p>
            <w:pPr>
              <w:pStyle w:val="TableContents"/>
              <w:bidi w:val="0"/>
              <w:spacing w:before="0" w:after="283"/>
              <w:jc w:val="left"/>
              <w:rPr/>
            </w:pPr>
            <w:r>
              <w:rPr/>
              <w:t> </w:t>
            </w:r>
          </w:p>
        </w:tc>
        <w:tc>
          <w:tcPr>
            <w:tcW w:w="190" w:type="dxa"/>
            <w:tcBorders/>
            <w:shd w:fill="CCEEFF" w:val="clear"/>
            <w:vAlign w:val="center"/>
          </w:tcPr>
          <w:p>
            <w:pPr>
              <w:pStyle w:val="TableContents"/>
              <w:bidi w:val="0"/>
              <w:spacing w:before="0" w:after="283"/>
              <w:jc w:val="left"/>
              <w:rPr/>
            </w:pPr>
            <w:r>
              <w:rPr/>
              <w:t> </w:t>
            </w:r>
          </w:p>
        </w:tc>
        <w:tc>
          <w:tcPr>
            <w:tcW w:w="397" w:type="dxa"/>
            <w:tcBorders/>
            <w:shd w:fill="CCEEFF" w:val="clear"/>
            <w:vAlign w:val="center"/>
          </w:tcPr>
          <w:p>
            <w:pPr>
              <w:pStyle w:val="TableContents"/>
              <w:bidi w:val="0"/>
              <w:spacing w:before="0" w:after="283"/>
              <w:jc w:val="left"/>
              <w:rPr/>
            </w:pPr>
            <w:r>
              <w:rPr/>
              <w:t> </w:t>
            </w:r>
          </w:p>
        </w:tc>
        <w:tc>
          <w:tcPr>
            <w:tcW w:w="1543"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85" w:type="dxa"/>
            <w:tcBorders/>
            <w:shd w:fill="CCEEFF" w:val="clear"/>
            <w:vAlign w:val="center"/>
          </w:tcPr>
          <w:p>
            <w:pPr>
              <w:pStyle w:val="TableContents"/>
              <w:bidi w:val="0"/>
              <w:spacing w:before="0" w:after="283"/>
              <w:jc w:val="left"/>
              <w:rPr/>
            </w:pPr>
            <w:r>
              <w:rPr/>
              <w:t> </w:t>
            </w:r>
          </w:p>
        </w:tc>
        <w:tc>
          <w:tcPr>
            <w:tcW w:w="246" w:type="dxa"/>
            <w:tcBorders/>
            <w:shd w:fill="CCEEFF" w:val="clear"/>
            <w:vAlign w:val="center"/>
          </w:tcPr>
          <w:p>
            <w:pPr>
              <w:pStyle w:val="TableContents"/>
              <w:bidi w:val="0"/>
              <w:spacing w:before="0" w:after="283"/>
              <w:jc w:val="left"/>
              <w:rPr/>
            </w:pPr>
            <w:r>
              <w:rPr/>
              <w:t> </w:t>
            </w:r>
          </w:p>
        </w:tc>
        <w:tc>
          <w:tcPr>
            <w:tcW w:w="185" w:type="dxa"/>
            <w:tcBorders/>
            <w:shd w:fill="CCEEFF" w:val="clear"/>
            <w:vAlign w:val="center"/>
          </w:tcPr>
          <w:p>
            <w:pPr>
              <w:pStyle w:val="TableContents"/>
              <w:bidi w:val="0"/>
              <w:spacing w:before="0" w:after="283"/>
              <w:jc w:val="left"/>
              <w:rPr/>
            </w:pPr>
            <w:r>
              <w:rPr/>
              <w:t> </w:t>
            </w:r>
          </w:p>
        </w:tc>
        <w:tc>
          <w:tcPr>
            <w:tcW w:w="185" w:type="dxa"/>
            <w:tcBorders/>
            <w:shd w:fill="CCEEFF" w:val="clear"/>
            <w:vAlign w:val="center"/>
          </w:tcPr>
          <w:p>
            <w:pPr>
              <w:pStyle w:val="TableContents"/>
              <w:bidi w:val="0"/>
              <w:spacing w:before="0" w:after="283"/>
              <w:jc w:val="left"/>
              <w:rPr/>
            </w:pPr>
            <w:r>
              <w:rPr/>
              <w:t> </w:t>
            </w:r>
          </w:p>
        </w:tc>
        <w:tc>
          <w:tcPr>
            <w:tcW w:w="385" w:type="dxa"/>
            <w:tcBorders/>
            <w:shd w:fill="CCEEFF" w:val="clear"/>
            <w:vAlign w:val="center"/>
          </w:tcPr>
          <w:p>
            <w:pPr>
              <w:pStyle w:val="TableContents"/>
              <w:bidi w:val="0"/>
              <w:spacing w:before="0" w:after="283"/>
              <w:jc w:val="left"/>
              <w:rPr/>
            </w:pPr>
            <w:r>
              <w:rPr/>
              <w:t> </w:t>
            </w:r>
          </w:p>
        </w:tc>
        <w:tc>
          <w:tcPr>
            <w:tcW w:w="1496"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r>
      <w:tr>
        <w:trPr/>
        <w:tc>
          <w:tcPr>
            <w:tcW w:w="3590"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Oil contracts</w:t>
            </w:r>
          </w:p>
        </w:tc>
        <w:tc>
          <w:tcPr>
            <w:tcW w:w="60" w:type="dxa"/>
            <w:tcBorders/>
            <w:shd w:fill="FFFFFF" w:val="clear"/>
            <w:vAlign w:val="center"/>
          </w:tcPr>
          <w:p>
            <w:pPr>
              <w:pStyle w:val="TableContents"/>
              <w:bidi w:val="0"/>
              <w:spacing w:before="0" w:after="283"/>
              <w:ind w:left="0" w:right="0" w:hanging="0"/>
              <w:jc w:val="left"/>
              <w:rPr/>
            </w:pPr>
            <w:r>
              <w:rPr/>
              <w:t> </w:t>
            </w:r>
          </w:p>
        </w:tc>
        <w:tc>
          <w:tcPr>
            <w:tcW w:w="397"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254"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190" w:type="dxa"/>
            <w:tcBorders/>
            <w:shd w:fill="FFFFFF" w:val="clear"/>
            <w:vAlign w:val="center"/>
          </w:tcPr>
          <w:p>
            <w:pPr>
              <w:pStyle w:val="TableContents"/>
              <w:bidi w:val="0"/>
              <w:spacing w:before="0" w:after="283"/>
              <w:jc w:val="left"/>
              <w:rPr/>
            </w:pPr>
            <w:r>
              <w:rPr/>
              <w:t> </w:t>
            </w:r>
          </w:p>
        </w:tc>
        <w:tc>
          <w:tcPr>
            <w:tcW w:w="190" w:type="dxa"/>
            <w:tcBorders/>
            <w:shd w:fill="FFFFFF" w:val="clear"/>
            <w:vAlign w:val="center"/>
          </w:tcPr>
          <w:p>
            <w:pPr>
              <w:pStyle w:val="TableContents"/>
              <w:bidi w:val="0"/>
              <w:spacing w:before="0" w:after="283"/>
              <w:ind w:left="0" w:right="0" w:hanging="0"/>
              <w:jc w:val="left"/>
              <w:rPr/>
            </w:pPr>
            <w:r>
              <w:rPr/>
              <w:t> </w:t>
            </w:r>
          </w:p>
        </w:tc>
        <w:tc>
          <w:tcPr>
            <w:tcW w:w="397"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543"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2,030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38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246"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185" w:type="dxa"/>
            <w:tcBorders/>
            <w:shd w:fill="FFFFFF" w:val="clear"/>
            <w:vAlign w:val="center"/>
          </w:tcPr>
          <w:p>
            <w:pPr>
              <w:pStyle w:val="TableContents"/>
              <w:bidi w:val="0"/>
              <w:spacing w:before="0" w:after="283"/>
              <w:jc w:val="left"/>
              <w:rPr/>
            </w:pPr>
            <w:r>
              <w:rPr/>
              <w:t> </w:t>
            </w:r>
          </w:p>
        </w:tc>
        <w:tc>
          <w:tcPr>
            <w:tcW w:w="185" w:type="dxa"/>
            <w:tcBorders/>
            <w:shd w:fill="FFFFFF" w:val="clear"/>
            <w:vAlign w:val="center"/>
          </w:tcPr>
          <w:p>
            <w:pPr>
              <w:pStyle w:val="TableContents"/>
              <w:bidi w:val="0"/>
              <w:spacing w:before="0" w:after="283"/>
              <w:ind w:left="0" w:right="0" w:hanging="0"/>
              <w:jc w:val="left"/>
              <w:rPr/>
            </w:pPr>
            <w:r>
              <w:rPr/>
              <w:t> </w:t>
            </w:r>
          </w:p>
        </w:tc>
        <w:tc>
          <w:tcPr>
            <w:tcW w:w="38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496"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537</w:t>
            </w:r>
          </w:p>
        </w:tc>
        <w:tc>
          <w:tcPr>
            <w:tcW w:w="60" w:type="dxa"/>
            <w:tcBorders/>
            <w:shd w:fill="FFFFFF" w:val="clear"/>
            <w:vAlign w:val="center"/>
          </w:tcPr>
          <w:p>
            <w:pPr>
              <w:pStyle w:val="TableContents"/>
              <w:bidi w:val="0"/>
              <w:spacing w:before="0" w:after="283"/>
              <w:jc w:val="left"/>
              <w:rPr/>
            </w:pPr>
            <w:r>
              <w:rPr/>
              <w:t> </w:t>
            </w:r>
          </w:p>
        </w:tc>
      </w:tr>
      <w:tr>
        <w:trPr/>
        <w:tc>
          <w:tcPr>
            <w:tcW w:w="3590" w:type="dxa"/>
            <w:tcBorders/>
            <w:shd w:fill="CCEE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net commodity derivative gain</w:t>
            </w:r>
          </w:p>
        </w:tc>
        <w:tc>
          <w:tcPr>
            <w:tcW w:w="60" w:type="dxa"/>
            <w:tcBorders/>
            <w:shd w:fill="CCEEFF" w:val="clear"/>
            <w:vAlign w:val="center"/>
          </w:tcPr>
          <w:p>
            <w:pPr>
              <w:pStyle w:val="TableContents"/>
              <w:bidi w:val="0"/>
              <w:spacing w:before="0" w:after="283"/>
              <w:ind w:left="0" w:right="0" w:hanging="0"/>
              <w:jc w:val="left"/>
              <w:rPr/>
            </w:pPr>
            <w:r>
              <w:rPr/>
              <w:t> </w:t>
            </w:r>
          </w:p>
        </w:tc>
        <w:tc>
          <w:tcPr>
            <w:tcW w:w="397"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254"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190" w:type="dxa"/>
            <w:tcBorders/>
            <w:shd w:fill="CCEEFF" w:val="clear"/>
            <w:vAlign w:val="center"/>
          </w:tcPr>
          <w:p>
            <w:pPr>
              <w:pStyle w:val="TableContents"/>
              <w:bidi w:val="0"/>
              <w:spacing w:before="0" w:after="283"/>
              <w:jc w:val="left"/>
              <w:rPr/>
            </w:pPr>
            <w:r>
              <w:rPr/>
              <w:t> </w:t>
            </w:r>
          </w:p>
        </w:tc>
        <w:tc>
          <w:tcPr>
            <w:tcW w:w="190" w:type="dxa"/>
            <w:tcBorders/>
            <w:shd w:fill="CCEEFF" w:val="clear"/>
            <w:vAlign w:val="center"/>
          </w:tcPr>
          <w:p>
            <w:pPr>
              <w:pStyle w:val="TableContents"/>
              <w:bidi w:val="0"/>
              <w:spacing w:before="0" w:after="283"/>
              <w:ind w:left="0" w:right="0" w:hanging="0"/>
              <w:jc w:val="left"/>
              <w:rPr/>
            </w:pPr>
            <w:r>
              <w:rPr/>
              <w:t> </w:t>
            </w:r>
          </w:p>
        </w:tc>
        <w:tc>
          <w:tcPr>
            <w:tcW w:w="397"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543"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2,030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38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246"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185" w:type="dxa"/>
            <w:tcBorders/>
            <w:shd w:fill="CCEEFF" w:val="clear"/>
            <w:vAlign w:val="center"/>
          </w:tcPr>
          <w:p>
            <w:pPr>
              <w:pStyle w:val="TableContents"/>
              <w:bidi w:val="0"/>
              <w:spacing w:before="0" w:after="283"/>
              <w:jc w:val="left"/>
              <w:rPr/>
            </w:pPr>
            <w:r>
              <w:rPr/>
              <w:t> </w:t>
            </w:r>
          </w:p>
        </w:tc>
        <w:tc>
          <w:tcPr>
            <w:tcW w:w="185" w:type="dxa"/>
            <w:tcBorders/>
            <w:shd w:fill="CCEEFF" w:val="clear"/>
            <w:vAlign w:val="center"/>
          </w:tcPr>
          <w:p>
            <w:pPr>
              <w:pStyle w:val="TableContents"/>
              <w:bidi w:val="0"/>
              <w:spacing w:before="0" w:after="283"/>
              <w:ind w:left="0" w:right="0" w:hanging="0"/>
              <w:jc w:val="left"/>
              <w:rPr/>
            </w:pPr>
            <w:r>
              <w:rPr/>
              <w:t> </w:t>
            </w:r>
          </w:p>
        </w:tc>
        <w:tc>
          <w:tcPr>
            <w:tcW w:w="38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496"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537</w:t>
            </w:r>
          </w:p>
        </w:tc>
        <w:tc>
          <w:tcPr>
            <w:tcW w:w="6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283"/>
        <w:jc w:val="left"/>
        <w:rPr/>
      </w:pPr>
      <w:r>
        <w:rPr/>
        <w:t xml:space="preserve">  </w:t>
      </w:r>
    </w:p>
    <w:p>
      <w:pPr>
        <w:pStyle w:val="TextBody"/>
        <w:bidi w:val="0"/>
        <w:spacing w:before="0" w:after="0"/>
        <w:ind w:left="0" w:right="0" w:hanging="0"/>
        <w:jc w:val="both"/>
        <w:rPr/>
      </w:pPr>
      <w:r>
        <w:rPr>
          <w:rStyle w:val="Emphasis"/>
          <w:rFonts w:ascii="Times New Roman" w:hAnsi="Times New Roman"/>
          <w:b/>
          <w:caps w:val="false"/>
          <w:smallCaps w:val="false"/>
          <w:sz w:val="20"/>
        </w:rPr>
        <w:t>8.</w:t>
      </w:r>
      <w:r>
        <w:rPr>
          <w:rFonts w:ascii="Times New Roman" w:hAnsi="Times New Roman"/>
          <w:b/>
          <w:caps w:val="false"/>
          <w:smallCaps w:val="false"/>
          <w:sz w:val="20"/>
        </w:rPr>
        <w:t xml:space="preserve"> COMMITMENTS AND CONTINGENCIES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Contingencies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caps w:val="false"/>
          <w:smallCaps w:val="false"/>
          <w:sz w:val="20"/>
        </w:rPr>
        <w:t xml:space="preserve">The Company is subject to litigation and claims arising in the ordinary course of business. The Company accrues for such items when a liability is both probable and the amount can be reasonably estimated. In the opinion of management, the anticipated results of any pending litigation and claims are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expected to have a material effect on the results of operations, the financial position, or the cash flows of the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283"/>
        <w:jc w:val="left"/>
        <w:rPr/>
      </w:pPr>
      <w:r>
        <w:rPr/>
        <w:t xml:space="preserve">  </w:t>
      </w:r>
    </w:p>
    <w:p>
      <w:pPr>
        <w:pStyle w:val="TextBody"/>
        <w:bidi w:val="0"/>
        <w:spacing w:before="0" w:after="0"/>
        <w:ind w:left="0" w:right="0" w:hanging="0"/>
        <w:jc w:val="both"/>
        <w:rPr/>
      </w:pPr>
      <w:r>
        <w:rPr>
          <w:rStyle w:val="Emphasis"/>
          <w:rFonts w:ascii="Times New Roman" w:hAnsi="Times New Roman"/>
          <w:b/>
          <w:caps w:val="false"/>
          <w:smallCaps w:val="false"/>
          <w:sz w:val="20"/>
        </w:rPr>
        <w:t>9.</w:t>
      </w:r>
      <w:r>
        <w:rPr>
          <w:rFonts w:ascii="Times New Roman" w:hAnsi="Times New Roman"/>
          <w:b/>
          <w:caps w:val="false"/>
          <w:smallCaps w:val="false"/>
          <w:sz w:val="20"/>
        </w:rPr>
        <w:t xml:space="preserve"> SHAREHOLDERS</w:t>
      </w:r>
      <w:r>
        <w:rPr>
          <w:rFonts w:ascii="Times New Roman" w:hAnsi="Times New Roman"/>
          <w:caps w:val="false"/>
          <w:smallCaps w:val="false"/>
          <w:sz w:val="20"/>
        </w:rPr>
        <w:t xml:space="preserve">’ </w:t>
      </w:r>
      <w:r>
        <w:rPr>
          <w:rFonts w:ascii="Times New Roman" w:hAnsi="Times New Roman"/>
          <w:b/>
          <w:caps w:val="false"/>
          <w:smallCaps w:val="false"/>
          <w:sz w:val="20"/>
        </w:rPr>
        <w:t>EQUITY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Equity Issuance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caps w:val="false"/>
          <w:smallCaps w:val="false"/>
          <w:sz w:val="20"/>
        </w:rPr>
        <w:t xml:space="preserve">On </w:t>
      </w:r>
      <w:r>
        <w:rPr>
          <w:rStyle w:val="Emphasis"/>
          <w:rFonts w:ascii="Times New Roman" w:hAnsi="Times New Roman"/>
          <w:caps w:val="false"/>
          <w:smallCaps w:val="false"/>
          <w:sz w:val="20"/>
        </w:rPr>
        <w:t xml:space="preserve">January 22, 2025, </w:t>
      </w:r>
      <w:r>
        <w:rPr>
          <w:rFonts w:ascii="Times New Roman" w:hAnsi="Times New Roman"/>
          <w:caps w:val="false"/>
          <w:smallCaps w:val="false"/>
          <w:sz w:val="20"/>
        </w:rPr>
        <w:t>the Company entered into an underwriting agreement for the offering of 4,871,400 shares of common stock, at a price to the public of $2.65 per share (such offering, the “Offering”).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caps w:val="false"/>
          <w:smallCaps w:val="false"/>
          <w:sz w:val="20"/>
        </w:rPr>
        <w:t xml:space="preserve">The sale of 4,871,400 shares of common stock (including the full 635,400 over-allotment option) in connection with the Offering, closed on </w:t>
      </w:r>
      <w:r>
        <w:rPr>
          <w:rStyle w:val="Emphasis"/>
          <w:rFonts w:ascii="Times New Roman" w:hAnsi="Times New Roman"/>
          <w:caps w:val="false"/>
          <w:smallCaps w:val="false"/>
          <w:sz w:val="20"/>
        </w:rPr>
        <w:t xml:space="preserve">January 23, 2025. </w:t>
      </w:r>
      <w:r>
        <w:rPr>
          <w:rFonts w:ascii="Times New Roman" w:hAnsi="Times New Roman"/>
          <w:caps w:val="false"/>
          <w:smallCaps w:val="false"/>
          <w:sz w:val="20"/>
        </w:rPr>
        <w:t xml:space="preserve">The Company generated approximately $11.9 million of net proceeds from the Offering, after deducting the underwriting discounts and commissions and offering costs payable by us, and plans to use such proceeds for the development of its recent acquisition in Montana, general corporate purposes, and working capital, or for other purposes that our board of directors, in their good faith, deems to be in the best interest of the Company. Additionally, management used $1.574 million from the over-allotment option exercise to purchase shares of common stock from Sage Road Capital, LLC (whose co-manager, Joshua L. Batchelor, was a then member of the Board of Directors of the Company) and its affiliates at a price equal to the public offering price of the Offering, less underwriting discounts, which sale took place in </w:t>
      </w:r>
      <w:r>
        <w:rPr>
          <w:rStyle w:val="Emphasis"/>
          <w:rFonts w:ascii="Times New Roman" w:hAnsi="Times New Roman"/>
          <w:caps w:val="false"/>
          <w:smallCaps w:val="false"/>
          <w:sz w:val="20"/>
        </w:rPr>
        <w:t xml:space="preserve">January 2025, </w:t>
      </w:r>
      <w:r>
        <w:rPr>
          <w:rFonts w:ascii="Times New Roman" w:hAnsi="Times New Roman"/>
          <w:caps w:val="false"/>
          <w:smallCaps w:val="false"/>
          <w:sz w:val="20"/>
        </w:rPr>
        <w:t>as discussed below.</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Related Party Share Repurchase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caps w:val="false"/>
          <w:smallCaps w:val="false"/>
          <w:sz w:val="20"/>
        </w:rPr>
        <w:t xml:space="preserve">On </w:t>
      </w:r>
      <w:r>
        <w:rPr>
          <w:rStyle w:val="Emphasis"/>
          <w:rFonts w:ascii="Times New Roman" w:hAnsi="Times New Roman"/>
          <w:caps w:val="false"/>
          <w:smallCaps w:val="false"/>
          <w:sz w:val="20"/>
        </w:rPr>
        <w:t xml:space="preserve">January 27, 2025, </w:t>
      </w:r>
      <w:r>
        <w:rPr>
          <w:rFonts w:ascii="Times New Roman" w:hAnsi="Times New Roman"/>
          <w:caps w:val="false"/>
          <w:smallCaps w:val="false"/>
          <w:sz w:val="20"/>
        </w:rPr>
        <w:t xml:space="preserve">the Company entered into a Share Repurchase Agreement with Banner Oil &amp; Gas, LLC (“Banner”), Woodford Petroleum, LLC (“Woodford”), and Sage Road Energy II, LP, (“Sage Road”, and together with Banner and Woodford, the “Selling Stockholders”). In his capacity as co-Managing Partner of Sage Road Capital, LLC, which indirectly controls and manages certain funds which own a majority interest in Banner, Woodford and Sage Road, Joshua L. Batchelor, a then member of the Board of Directors of the Company, </w:t>
      </w:r>
      <w:r>
        <w:rPr>
          <w:rStyle w:val="Emphasis"/>
          <w:rFonts w:ascii="Times New Roman" w:hAnsi="Times New Roman"/>
          <w:caps w:val="false"/>
          <w:smallCaps w:val="false"/>
          <w:sz w:val="20"/>
        </w:rPr>
        <w:t xml:space="preserve">may </w:t>
      </w:r>
      <w:r>
        <w:rPr>
          <w:rFonts w:ascii="Times New Roman" w:hAnsi="Times New Roman"/>
          <w:caps w:val="false"/>
          <w:smallCaps w:val="false"/>
          <w:sz w:val="20"/>
        </w:rPr>
        <w:t>be deemed to beneficially own the shares of common stock held by the Selling Stockholders.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pPr>
      <w:r>
        <w:rPr>
          <w:rStyle w:val="Emphasis"/>
          <w:rFonts w:ascii="Times New Roman" w:hAnsi="Times New Roman"/>
          <w:sz w:val="20"/>
        </w:rPr>
        <w:t>12</w:t>
      </w:r>
      <w:r>
        <w:rPr>
          <w:rFonts w:ascii="Times New Roman" w:hAnsi="Times New Roman"/>
          <w:sz w:val="20"/>
        </w:rPr>
        <w:t xml:space="preserve">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283"/>
        <w:jc w:val="left"/>
        <w:rPr/>
      </w:pPr>
      <w:r>
        <w:rPr/>
        <w:t xml:space="preserve">  </w:t>
      </w:r>
    </w:p>
    <w:p>
      <w:pPr>
        <w:pStyle w:val="TextBody"/>
        <w:bidi w:val="0"/>
        <w:spacing w:before="0" w:after="0"/>
        <w:ind w:left="0" w:right="0" w:hanging="0"/>
        <w:jc w:val="both"/>
        <w:rPr/>
      </w:pPr>
      <w:r>
        <w:rPr>
          <w:rFonts w:ascii="Times New Roman" w:hAnsi="Times New Roman"/>
          <w:caps w:val="false"/>
          <w:smallCaps w:val="false"/>
          <w:sz w:val="20"/>
        </w:rPr>
        <w:t xml:space="preserve">Pursuant to the Share Repurchase Agreement, the Company, in a private transaction, outside of, and separate from the Company’s previously disclosed share repurchase program, on </w:t>
      </w:r>
      <w:r>
        <w:rPr>
          <w:rStyle w:val="Emphasis"/>
          <w:rFonts w:ascii="Times New Roman" w:hAnsi="Times New Roman"/>
          <w:caps w:val="false"/>
          <w:smallCaps w:val="false"/>
          <w:sz w:val="20"/>
        </w:rPr>
        <w:t xml:space="preserve">January 27, 2025, </w:t>
      </w:r>
      <w:r>
        <w:rPr>
          <w:rFonts w:ascii="Times New Roman" w:hAnsi="Times New Roman"/>
          <w:caps w:val="false"/>
          <w:smallCaps w:val="false"/>
          <w:sz w:val="20"/>
        </w:rPr>
        <w:t xml:space="preserve">repurchased (a) 534,020 shares of common stock held by Banner, (b) 41,229 shares of common stock held by Woodford, and (c) 60,151 shares of common stock held by Sage Road, for an aggregate of $1.574 million or approximately $2.48 per share, which was the net price per share of the 4,871,400 shares of common stock sold in our underwritten public offering which closed on </w:t>
      </w:r>
      <w:r>
        <w:rPr>
          <w:rStyle w:val="Emphasis"/>
          <w:rFonts w:ascii="Times New Roman" w:hAnsi="Times New Roman"/>
          <w:caps w:val="false"/>
          <w:smallCaps w:val="false"/>
          <w:sz w:val="20"/>
        </w:rPr>
        <w:t xml:space="preserve">January 23, 2025, </w:t>
      </w:r>
      <w:r>
        <w:rPr>
          <w:rFonts w:ascii="Times New Roman" w:hAnsi="Times New Roman"/>
          <w:caps w:val="false"/>
          <w:smallCaps w:val="false"/>
          <w:sz w:val="20"/>
        </w:rPr>
        <w:t xml:space="preserve">less underwriting discounts and commissions, and which represented an 8.2% premium to the closing sales price of the Company's common stock on </w:t>
      </w:r>
      <w:r>
        <w:rPr>
          <w:rStyle w:val="Emphasis"/>
          <w:rFonts w:ascii="Times New Roman" w:hAnsi="Times New Roman"/>
          <w:caps w:val="false"/>
          <w:smallCaps w:val="false"/>
          <w:sz w:val="20"/>
        </w:rPr>
        <w:t>January 27, 2025.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caps w:val="false"/>
          <w:smallCaps w:val="false"/>
          <w:sz w:val="20"/>
        </w:rPr>
        <w:t xml:space="preserve">The share repurchase program was approved by the disinterested members of the Board of Directors of the Company, as well as the Company’s Audit Committee, comprised solely of independent directors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affiliated with Mr. Batchelor or the Selling Stockholders.</w:t>
      </w:r>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 w:hAnsi="Times New Roman"/>
          <w:i/>
          <w:caps w:val="false"/>
          <w:smallCaps w:val="false"/>
          <w:sz w:val="20"/>
        </w:rPr>
      </w:pPr>
      <w:r>
        <w:rPr>
          <w:rFonts w:ascii="Times New Roman" w:hAnsi="Times New Roman"/>
          <w:i/>
          <w:caps w:val="false"/>
          <w:smallCaps w:val="false"/>
          <w:sz w:val="20"/>
        </w:rPr>
        <w:t>Stock Option Plans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caps w:val="false"/>
          <w:smallCaps w:val="false"/>
          <w:sz w:val="20"/>
        </w:rPr>
        <w:t xml:space="preserve">The Company </w:t>
      </w:r>
      <w:r>
        <w:rPr>
          <w:rStyle w:val="Emphasis"/>
          <w:rFonts w:ascii="Times New Roman" w:hAnsi="Times New Roman"/>
          <w:caps w:val="false"/>
          <w:smallCaps w:val="false"/>
          <w:sz w:val="20"/>
        </w:rPr>
        <w:t xml:space="preserve">may </w:t>
      </w:r>
      <w:r>
        <w:rPr>
          <w:rFonts w:ascii="Times New Roman" w:hAnsi="Times New Roman"/>
          <w:caps w:val="false"/>
          <w:smallCaps w:val="false"/>
          <w:sz w:val="20"/>
        </w:rPr>
        <w:t>grant stock options under its incentive plan covering shares of common stock to employees of the Company. Stock options, when exercised, are settled through the payment of the exercise price in exchange for new shares of stock underlying the option. These awards typically expire ten years from the grant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caps w:val="false"/>
          <w:smallCaps w:val="false"/>
          <w:sz w:val="20"/>
        </w:rPr>
        <w:t xml:space="preserve">For the </w:t>
      </w:r>
      <w:r>
        <w:rPr>
          <w:rStyle w:val="Emphasis"/>
          <w:rFonts w:ascii="Times New Roman" w:hAnsi="Times New Roman"/>
          <w:caps w:val="false"/>
          <w:smallCaps w:val="false"/>
          <w:sz w:val="20"/>
        </w:rPr>
        <w:t>three</w:t>
      </w:r>
      <w:r>
        <w:rPr>
          <w:rFonts w:ascii="Times New Roman" w:hAnsi="Times New Roman"/>
          <w:caps w:val="false"/>
          <w:smallCaps w:val="false"/>
          <w:sz w:val="20"/>
        </w:rPr>
        <w:t xml:space="preserve"> and </w:t>
      </w:r>
      <w:r>
        <w:rPr>
          <w:rStyle w:val="Emphasis"/>
          <w:rFonts w:ascii="Times New Roman" w:hAnsi="Times New Roman"/>
          <w:caps w:val="false"/>
          <w:smallCaps w:val="false"/>
          <w:sz w:val="20"/>
        </w:rPr>
        <w:t>nine</w:t>
      </w:r>
      <w:r>
        <w:rPr>
          <w:rFonts w:ascii="Times New Roman" w:hAnsi="Times New Roman"/>
          <w:caps w:val="false"/>
          <w:smallCaps w:val="false"/>
          <w:sz w:val="20"/>
        </w:rPr>
        <w:t xml:space="preserve"> months ended </w:t>
      </w:r>
      <w:r>
        <w:rPr>
          <w:rStyle w:val="Emphasis"/>
          <w:rFonts w:ascii="Times New Roman" w:hAnsi="Times New Roman"/>
          <w:caps w:val="false"/>
          <w:smallCaps w:val="false"/>
          <w:sz w:val="20"/>
        </w:rPr>
        <w:t xml:space="preserve">September 30, 2025 </w:t>
      </w:r>
      <w:r>
        <w:rPr>
          <w:rFonts w:ascii="Times New Roman" w:hAnsi="Times New Roman"/>
          <w:caps w:val="false"/>
          <w:smallCaps w:val="false"/>
          <w:sz w:val="20"/>
        </w:rPr>
        <w:t xml:space="preserve">and </w:t>
      </w:r>
      <w:r>
        <w:rPr>
          <w:rStyle w:val="Emphasis"/>
          <w:rFonts w:ascii="Times New Roman" w:hAnsi="Times New Roman"/>
          <w:caps w:val="false"/>
          <w:smallCaps w:val="false"/>
          <w:sz w:val="20"/>
        </w:rPr>
        <w:t>2024</w:t>
      </w:r>
      <w:r>
        <w:rPr>
          <w:rFonts w:ascii="Times New Roman" w:hAnsi="Times New Roman"/>
          <w:caps w:val="false"/>
          <w:smallCaps w:val="false"/>
          <w:sz w:val="20"/>
        </w:rPr>
        <w:t>, there was no compensation expense related to stock options. As of </w:t>
      </w:r>
      <w:r>
        <w:rPr>
          <w:rStyle w:val="Emphasis"/>
          <w:rFonts w:ascii="Times New Roman" w:hAnsi="Times New Roman"/>
          <w:caps w:val="false"/>
          <w:smallCaps w:val="false"/>
          <w:sz w:val="20"/>
        </w:rPr>
        <w:t xml:space="preserve"> September 30, 2025</w:t>
      </w:r>
      <w:r>
        <w:rPr>
          <w:rFonts w:ascii="Times New Roman" w:hAnsi="Times New Roman"/>
          <w:caps w:val="false"/>
          <w:smallCaps w:val="false"/>
          <w:sz w:val="20"/>
        </w:rPr>
        <w:t xml:space="preserve"> and </w:t>
      </w:r>
      <w:r>
        <w:rPr>
          <w:rStyle w:val="Emphasis"/>
          <w:rFonts w:ascii="Times New Roman" w:hAnsi="Times New Roman"/>
          <w:caps w:val="false"/>
          <w:smallCaps w:val="false"/>
          <w:sz w:val="20"/>
        </w:rPr>
        <w:t xml:space="preserve"> September 30, 2024</w:t>
      </w:r>
      <w:r>
        <w:rPr>
          <w:rFonts w:ascii="Times New Roman" w:hAnsi="Times New Roman"/>
          <w:caps w:val="false"/>
          <w:smallCaps w:val="false"/>
          <w:sz w:val="20"/>
        </w:rPr>
        <w:t xml:space="preserve">, all stock options had vested. No stock options were granted or exercised during the </w:t>
      </w:r>
      <w:r>
        <w:rPr>
          <w:rStyle w:val="Emphasis"/>
          <w:rFonts w:ascii="Times New Roman" w:hAnsi="Times New Roman"/>
          <w:caps w:val="false"/>
          <w:smallCaps w:val="false"/>
          <w:sz w:val="20"/>
        </w:rPr>
        <w:t>three</w:t>
      </w:r>
      <w:r>
        <w:rPr>
          <w:rFonts w:ascii="Times New Roman" w:hAnsi="Times New Roman"/>
          <w:caps w:val="false"/>
          <w:smallCaps w:val="false"/>
          <w:sz w:val="20"/>
        </w:rPr>
        <w:t xml:space="preserve"> and </w:t>
      </w:r>
      <w:r>
        <w:rPr>
          <w:rStyle w:val="Emphasis"/>
          <w:rFonts w:ascii="Times New Roman" w:hAnsi="Times New Roman"/>
          <w:caps w:val="false"/>
          <w:smallCaps w:val="false"/>
          <w:sz w:val="20"/>
        </w:rPr>
        <w:t>nine</w:t>
      </w:r>
      <w:r>
        <w:rPr>
          <w:rFonts w:ascii="Times New Roman" w:hAnsi="Times New Roman"/>
          <w:caps w:val="false"/>
          <w:smallCaps w:val="false"/>
          <w:sz w:val="20"/>
        </w:rPr>
        <w:t xml:space="preserve"> months ended </w:t>
      </w:r>
      <w:r>
        <w:rPr>
          <w:rStyle w:val="Emphasis"/>
          <w:rFonts w:ascii="Times New Roman" w:hAnsi="Times New Roman"/>
          <w:caps w:val="false"/>
          <w:smallCaps w:val="false"/>
          <w:sz w:val="20"/>
        </w:rPr>
        <w:t xml:space="preserve">September 30, 2025 </w:t>
      </w:r>
      <w:r>
        <w:rPr>
          <w:rFonts w:ascii="Times New Roman" w:hAnsi="Times New Roman"/>
          <w:caps w:val="false"/>
          <w:smallCaps w:val="false"/>
          <w:sz w:val="20"/>
        </w:rPr>
        <w:t xml:space="preserve">and </w:t>
      </w:r>
      <w:r>
        <w:rPr>
          <w:rStyle w:val="Emphasis"/>
          <w:rFonts w:ascii="Times New Roman" w:hAnsi="Times New Roman"/>
          <w:caps w:val="false"/>
          <w:smallCaps w:val="false"/>
          <w:sz w:val="20"/>
        </w:rPr>
        <w:t>2024</w:t>
      </w:r>
      <w:r>
        <w:rPr>
          <w:rFonts w:ascii="Times New Roman" w:hAnsi="Times New Roman"/>
          <w:caps w:val="false"/>
          <w:smallCaps w:val="false"/>
          <w:sz w:val="20"/>
        </w:rPr>
        <w:t xml:space="preserve">. The stock options had de minimis intrinsic values for the periods reported. Presented below is information for stock options outstanding and exercisable as of </w:t>
      </w:r>
      <w:r>
        <w:rPr>
          <w:rStyle w:val="Emphasis"/>
          <w:rFonts w:ascii="Times New Roman" w:hAnsi="Times New Roman"/>
          <w:caps w:val="false"/>
          <w:smallCaps w:val="false"/>
          <w:sz w:val="20"/>
        </w:rPr>
        <w:t>September 30, 2025</w:t>
      </w:r>
      <w:r>
        <w:rPr>
          <w:rFonts w:ascii="Times New Roman" w:hAnsi="Times New Roman"/>
          <w:caps w:val="false"/>
          <w:smallCaps w:val="false"/>
          <w:sz w:val="20"/>
        </w:rPr>
        <w:t xml:space="preserve">, and </w:t>
      </w:r>
      <w:r>
        <w:rPr>
          <w:rStyle w:val="Emphasis"/>
          <w:rFonts w:ascii="Times New Roman" w:hAnsi="Times New Roman"/>
          <w:caps w:val="false"/>
          <w:smallCaps w:val="false"/>
          <w:sz w:val="20"/>
        </w:rPr>
        <w:t>December 31, 2024</w:t>
      </w:r>
      <w:r>
        <w:rPr>
          <w:rFonts w:ascii="Times New Roman" w:hAnsi="Times New Roman"/>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tbl>
      <w:tblPr>
        <w:tblW w:w="7400" w:type="dxa"/>
        <w:jc w:val="left"/>
        <w:tblInd w:w="0" w:type="dxa"/>
        <w:tblLayout w:type="fixed"/>
        <w:tblCellMar>
          <w:top w:w="0" w:type="dxa"/>
          <w:left w:w="0" w:type="dxa"/>
          <w:bottom w:w="0" w:type="dxa"/>
          <w:right w:w="0" w:type="dxa"/>
        </w:tblCellMar>
      </w:tblPr>
      <w:tblGrid>
        <w:gridCol w:w="3470"/>
        <w:gridCol w:w="60"/>
        <w:gridCol w:w="81"/>
        <w:gridCol w:w="808"/>
        <w:gridCol w:w="71"/>
        <w:gridCol w:w="71"/>
        <w:gridCol w:w="167"/>
        <w:gridCol w:w="648"/>
        <w:gridCol w:w="60"/>
        <w:gridCol w:w="60"/>
        <w:gridCol w:w="82"/>
        <w:gridCol w:w="807"/>
        <w:gridCol w:w="70"/>
        <w:gridCol w:w="70"/>
        <w:gridCol w:w="167"/>
        <w:gridCol w:w="648"/>
        <w:gridCol w:w="60"/>
      </w:tblGrid>
      <w:tr>
        <w:trPr/>
        <w:tc>
          <w:tcPr>
            <w:tcW w:w="347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846"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September 30, 2025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844"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December 31, 2024</w:t>
            </w:r>
          </w:p>
        </w:tc>
        <w:tc>
          <w:tcPr>
            <w:tcW w:w="60" w:type="dxa"/>
            <w:tcBorders/>
            <w:shd w:fill="FFFFFF" w:val="clear"/>
            <w:vAlign w:val="center"/>
          </w:tcPr>
          <w:p>
            <w:pPr>
              <w:pStyle w:val="TableContents"/>
              <w:bidi w:val="0"/>
              <w:spacing w:before="0" w:after="283"/>
              <w:jc w:val="left"/>
              <w:rPr/>
            </w:pPr>
            <w:r>
              <w:rPr/>
              <w:t> </w:t>
            </w:r>
          </w:p>
        </w:tc>
      </w:tr>
      <w:tr>
        <w:trPr/>
        <w:tc>
          <w:tcPr>
            <w:tcW w:w="347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1" w:type="dxa"/>
            <w:tcBorders/>
            <w:shd w:fill="FFFFFF" w:val="clear"/>
            <w:vAlign w:val="center"/>
          </w:tcPr>
          <w:p>
            <w:pPr>
              <w:pStyle w:val="TableContents"/>
              <w:bidi w:val="0"/>
              <w:spacing w:before="0" w:after="283"/>
              <w:jc w:val="left"/>
              <w:rPr/>
            </w:pPr>
            <w:r>
              <w:rPr/>
              <w:t> </w:t>
            </w:r>
          </w:p>
        </w:tc>
        <w:tc>
          <w:tcPr>
            <w:tcW w:w="808" w:type="dxa"/>
            <w:tcBorders/>
            <w:shd w:fill="FFFFFF" w:val="clear"/>
            <w:vAlign w:val="center"/>
          </w:tcPr>
          <w:p>
            <w:pPr>
              <w:pStyle w:val="TableContents"/>
              <w:bidi w:val="0"/>
              <w:spacing w:before="0" w:after="283"/>
              <w:jc w:val="center"/>
              <w:rPr/>
            </w:pPr>
            <w:r>
              <w:rPr>
                <w:rStyle w:val="Emphasis"/>
              </w:rPr>
              <w:t> </w:t>
            </w:r>
          </w:p>
        </w:tc>
        <w:tc>
          <w:tcPr>
            <w:tcW w:w="71" w:type="dxa"/>
            <w:tcBorders/>
            <w:shd w:fill="FFFFFF" w:val="clear"/>
            <w:vAlign w:val="center"/>
          </w:tcPr>
          <w:p>
            <w:pPr>
              <w:pStyle w:val="TableContents"/>
              <w:bidi w:val="0"/>
              <w:spacing w:before="0" w:after="283"/>
              <w:jc w:val="left"/>
              <w:rPr/>
            </w:pPr>
            <w:r>
              <w:rPr/>
              <w:t> </w:t>
            </w:r>
          </w:p>
        </w:tc>
        <w:tc>
          <w:tcPr>
            <w:tcW w:w="71" w:type="dxa"/>
            <w:tcBorders/>
            <w:shd w:fill="FFFFFF" w:val="clear"/>
            <w:vAlign w:val="center"/>
          </w:tcPr>
          <w:p>
            <w:pPr>
              <w:pStyle w:val="TableContents"/>
              <w:bidi w:val="0"/>
              <w:spacing w:before="0" w:after="283"/>
              <w:ind w:left="0" w:right="0" w:hanging="0"/>
              <w:jc w:val="left"/>
              <w:rPr/>
            </w:pPr>
            <w:r>
              <w:rPr/>
              <w:t> </w:t>
            </w:r>
          </w:p>
        </w:tc>
        <w:tc>
          <w:tcPr>
            <w:tcW w:w="815" w:type="dxa"/>
            <w:gridSpan w:val="2"/>
            <w:tcBorders/>
            <w:shd w:fill="FFFFFF" w:val="clear"/>
            <w:vAlign w:val="center"/>
          </w:tcPr>
          <w:p>
            <w:pPr>
              <w:pStyle w:val="TableContents"/>
              <w:bidi w:val="0"/>
              <w:spacing w:before="0" w:after="283"/>
              <w:jc w:val="center"/>
              <w:rPr/>
            </w:pPr>
            <w:r>
              <w:rPr>
                <w:rStyle w:val="Emphasis"/>
                <w:rFonts w:ascii="Times New Roman" w:hAnsi="Times New Roman"/>
                <w:b/>
                <w:sz w:val="20"/>
              </w:rPr>
              <w:t>Weighted</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2" w:type="dxa"/>
            <w:tcBorders/>
            <w:shd w:fill="FFFFFF" w:val="clear"/>
            <w:vAlign w:val="center"/>
          </w:tcPr>
          <w:p>
            <w:pPr>
              <w:pStyle w:val="TableContents"/>
              <w:bidi w:val="0"/>
              <w:spacing w:before="0" w:after="283"/>
              <w:jc w:val="left"/>
              <w:rPr/>
            </w:pPr>
            <w:r>
              <w:rPr/>
              <w:t> </w:t>
            </w:r>
          </w:p>
        </w:tc>
        <w:tc>
          <w:tcPr>
            <w:tcW w:w="807" w:type="dxa"/>
            <w:tcBorders/>
            <w:shd w:fill="FFFFFF" w:val="clear"/>
            <w:vAlign w:val="center"/>
          </w:tcPr>
          <w:p>
            <w:pPr>
              <w:pStyle w:val="TableContents"/>
              <w:bidi w:val="0"/>
              <w:spacing w:before="0" w:after="283"/>
              <w:jc w:val="center"/>
              <w:rPr/>
            </w:pPr>
            <w:r>
              <w:rPr>
                <w:rStyle w:val="Emphasis"/>
              </w:rPr>
              <w:t> </w:t>
            </w:r>
          </w:p>
        </w:tc>
        <w:tc>
          <w:tcPr>
            <w:tcW w:w="70" w:type="dxa"/>
            <w:tcBorders/>
            <w:shd w:fill="FFFFFF" w:val="clear"/>
            <w:vAlign w:val="center"/>
          </w:tcPr>
          <w:p>
            <w:pPr>
              <w:pStyle w:val="TableContents"/>
              <w:bidi w:val="0"/>
              <w:spacing w:before="0" w:after="283"/>
              <w:jc w:val="left"/>
              <w:rPr/>
            </w:pPr>
            <w:r>
              <w:rPr/>
              <w:t> </w:t>
            </w:r>
          </w:p>
        </w:tc>
        <w:tc>
          <w:tcPr>
            <w:tcW w:w="70" w:type="dxa"/>
            <w:tcBorders/>
            <w:shd w:fill="FFFFFF" w:val="clear"/>
            <w:vAlign w:val="center"/>
          </w:tcPr>
          <w:p>
            <w:pPr>
              <w:pStyle w:val="TableContents"/>
              <w:bidi w:val="0"/>
              <w:spacing w:before="0" w:after="283"/>
              <w:ind w:left="0" w:right="0" w:hanging="0"/>
              <w:jc w:val="left"/>
              <w:rPr/>
            </w:pPr>
            <w:r>
              <w:rPr/>
              <w:t> </w:t>
            </w:r>
          </w:p>
        </w:tc>
        <w:tc>
          <w:tcPr>
            <w:tcW w:w="815" w:type="dxa"/>
            <w:gridSpan w:val="2"/>
            <w:tcBorders/>
            <w:shd w:fill="FFFFFF" w:val="clear"/>
            <w:vAlign w:val="center"/>
          </w:tcPr>
          <w:p>
            <w:pPr>
              <w:pStyle w:val="TableContents"/>
              <w:bidi w:val="0"/>
              <w:spacing w:before="0" w:after="283"/>
              <w:jc w:val="center"/>
              <w:rPr/>
            </w:pPr>
            <w:r>
              <w:rPr>
                <w:rStyle w:val="Emphasis"/>
                <w:rFonts w:ascii="Times New Roman" w:hAnsi="Times New Roman"/>
                <w:b/>
                <w:sz w:val="20"/>
              </w:rPr>
              <w:t>Weighted</w:t>
            </w:r>
          </w:p>
        </w:tc>
        <w:tc>
          <w:tcPr>
            <w:tcW w:w="60" w:type="dxa"/>
            <w:tcBorders/>
            <w:shd w:fill="FFFFFF" w:val="clear"/>
            <w:vAlign w:val="center"/>
          </w:tcPr>
          <w:p>
            <w:pPr>
              <w:pStyle w:val="TableContents"/>
              <w:bidi w:val="0"/>
              <w:spacing w:before="0" w:after="283"/>
              <w:jc w:val="left"/>
              <w:rPr/>
            </w:pPr>
            <w:r>
              <w:rPr/>
              <w:t> </w:t>
            </w:r>
          </w:p>
        </w:tc>
      </w:tr>
      <w:tr>
        <w:trPr/>
        <w:tc>
          <w:tcPr>
            <w:tcW w:w="347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1" w:type="dxa"/>
            <w:tcBorders/>
            <w:shd w:fill="FFFFFF" w:val="clear"/>
            <w:vAlign w:val="center"/>
          </w:tcPr>
          <w:p>
            <w:pPr>
              <w:pStyle w:val="TableContents"/>
              <w:bidi w:val="0"/>
              <w:spacing w:before="0" w:after="283"/>
              <w:jc w:val="left"/>
              <w:rPr/>
            </w:pPr>
            <w:r>
              <w:rPr/>
              <w:t> </w:t>
            </w:r>
          </w:p>
        </w:tc>
        <w:tc>
          <w:tcPr>
            <w:tcW w:w="808" w:type="dxa"/>
            <w:tcBorders/>
            <w:shd w:fill="FFFFFF" w:val="clear"/>
            <w:vAlign w:val="center"/>
          </w:tcPr>
          <w:p>
            <w:pPr>
              <w:pStyle w:val="TableContents"/>
              <w:bidi w:val="0"/>
              <w:spacing w:before="0" w:after="283"/>
              <w:jc w:val="center"/>
              <w:rPr/>
            </w:pPr>
            <w:r>
              <w:rPr>
                <w:rStyle w:val="Emphasis"/>
              </w:rPr>
              <w:t> </w:t>
            </w:r>
          </w:p>
        </w:tc>
        <w:tc>
          <w:tcPr>
            <w:tcW w:w="71" w:type="dxa"/>
            <w:tcBorders/>
            <w:shd w:fill="FFFFFF" w:val="clear"/>
            <w:vAlign w:val="center"/>
          </w:tcPr>
          <w:p>
            <w:pPr>
              <w:pStyle w:val="TableContents"/>
              <w:bidi w:val="0"/>
              <w:spacing w:before="0" w:after="283"/>
              <w:jc w:val="left"/>
              <w:rPr/>
            </w:pPr>
            <w:r>
              <w:rPr/>
              <w:t> </w:t>
            </w:r>
          </w:p>
        </w:tc>
        <w:tc>
          <w:tcPr>
            <w:tcW w:w="71" w:type="dxa"/>
            <w:tcBorders/>
            <w:shd w:fill="FFFFFF" w:val="clear"/>
            <w:vAlign w:val="center"/>
          </w:tcPr>
          <w:p>
            <w:pPr>
              <w:pStyle w:val="TableContents"/>
              <w:bidi w:val="0"/>
              <w:spacing w:before="0" w:after="283"/>
              <w:ind w:left="0" w:right="0" w:hanging="0"/>
              <w:jc w:val="left"/>
              <w:rPr/>
            </w:pPr>
            <w:r>
              <w:rPr/>
              <w:t> </w:t>
            </w:r>
          </w:p>
        </w:tc>
        <w:tc>
          <w:tcPr>
            <w:tcW w:w="815" w:type="dxa"/>
            <w:gridSpan w:val="2"/>
            <w:tcBorders/>
            <w:shd w:fill="FFFFFF" w:val="clear"/>
            <w:vAlign w:val="center"/>
          </w:tcPr>
          <w:p>
            <w:pPr>
              <w:pStyle w:val="TableContents"/>
              <w:bidi w:val="0"/>
              <w:spacing w:before="0" w:after="283"/>
              <w:jc w:val="center"/>
              <w:rPr/>
            </w:pPr>
            <w:r>
              <w:rPr>
                <w:rStyle w:val="Emphasis"/>
                <w:rFonts w:ascii="Times New Roman" w:hAnsi="Times New Roman"/>
                <w:b/>
                <w:sz w:val="20"/>
              </w:rPr>
              <w:t>Average</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2" w:type="dxa"/>
            <w:tcBorders/>
            <w:shd w:fill="FFFFFF" w:val="clear"/>
            <w:vAlign w:val="center"/>
          </w:tcPr>
          <w:p>
            <w:pPr>
              <w:pStyle w:val="TableContents"/>
              <w:bidi w:val="0"/>
              <w:spacing w:before="0" w:after="283"/>
              <w:jc w:val="left"/>
              <w:rPr/>
            </w:pPr>
            <w:r>
              <w:rPr/>
              <w:t> </w:t>
            </w:r>
          </w:p>
        </w:tc>
        <w:tc>
          <w:tcPr>
            <w:tcW w:w="807" w:type="dxa"/>
            <w:tcBorders/>
            <w:shd w:fill="FFFFFF" w:val="clear"/>
            <w:vAlign w:val="center"/>
          </w:tcPr>
          <w:p>
            <w:pPr>
              <w:pStyle w:val="TableContents"/>
              <w:bidi w:val="0"/>
              <w:spacing w:before="0" w:after="283"/>
              <w:jc w:val="center"/>
              <w:rPr/>
            </w:pPr>
            <w:r>
              <w:rPr>
                <w:rStyle w:val="Emphasis"/>
              </w:rPr>
              <w:t> </w:t>
            </w:r>
          </w:p>
        </w:tc>
        <w:tc>
          <w:tcPr>
            <w:tcW w:w="70" w:type="dxa"/>
            <w:tcBorders/>
            <w:shd w:fill="FFFFFF" w:val="clear"/>
            <w:vAlign w:val="center"/>
          </w:tcPr>
          <w:p>
            <w:pPr>
              <w:pStyle w:val="TableContents"/>
              <w:bidi w:val="0"/>
              <w:spacing w:before="0" w:after="283"/>
              <w:jc w:val="left"/>
              <w:rPr/>
            </w:pPr>
            <w:r>
              <w:rPr/>
              <w:t> </w:t>
            </w:r>
          </w:p>
        </w:tc>
        <w:tc>
          <w:tcPr>
            <w:tcW w:w="70" w:type="dxa"/>
            <w:tcBorders/>
            <w:shd w:fill="FFFFFF" w:val="clear"/>
            <w:vAlign w:val="center"/>
          </w:tcPr>
          <w:p>
            <w:pPr>
              <w:pStyle w:val="TableContents"/>
              <w:bidi w:val="0"/>
              <w:spacing w:before="0" w:after="283"/>
              <w:ind w:left="0" w:right="0" w:hanging="0"/>
              <w:jc w:val="left"/>
              <w:rPr/>
            </w:pPr>
            <w:r>
              <w:rPr/>
              <w:t> </w:t>
            </w:r>
          </w:p>
        </w:tc>
        <w:tc>
          <w:tcPr>
            <w:tcW w:w="815" w:type="dxa"/>
            <w:gridSpan w:val="2"/>
            <w:tcBorders/>
            <w:shd w:fill="FFFFFF" w:val="clear"/>
            <w:vAlign w:val="center"/>
          </w:tcPr>
          <w:p>
            <w:pPr>
              <w:pStyle w:val="TableContents"/>
              <w:bidi w:val="0"/>
              <w:spacing w:before="0" w:after="283"/>
              <w:jc w:val="center"/>
              <w:rPr/>
            </w:pPr>
            <w:r>
              <w:rPr>
                <w:rStyle w:val="Emphasis"/>
                <w:rFonts w:ascii="Times New Roman" w:hAnsi="Times New Roman"/>
                <w:b/>
                <w:sz w:val="20"/>
              </w:rPr>
              <w:t>Average</w:t>
            </w:r>
          </w:p>
        </w:tc>
        <w:tc>
          <w:tcPr>
            <w:tcW w:w="60" w:type="dxa"/>
            <w:tcBorders/>
            <w:shd w:fill="FFFFFF" w:val="clear"/>
            <w:vAlign w:val="center"/>
          </w:tcPr>
          <w:p>
            <w:pPr>
              <w:pStyle w:val="TableContents"/>
              <w:bidi w:val="0"/>
              <w:spacing w:before="0" w:after="283"/>
              <w:jc w:val="left"/>
              <w:rPr/>
            </w:pPr>
            <w:r>
              <w:rPr/>
              <w:t> </w:t>
            </w:r>
          </w:p>
        </w:tc>
      </w:tr>
      <w:tr>
        <w:trPr/>
        <w:tc>
          <w:tcPr>
            <w:tcW w:w="347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89" w:type="dxa"/>
            <w:gridSpan w:val="2"/>
            <w:tcBorders/>
            <w:shd w:fill="FFFFFF" w:val="clear"/>
            <w:vAlign w:val="center"/>
          </w:tcPr>
          <w:p>
            <w:pPr>
              <w:pStyle w:val="TableContents"/>
              <w:bidi w:val="0"/>
              <w:spacing w:before="0" w:after="283"/>
              <w:jc w:val="center"/>
              <w:rPr/>
            </w:pPr>
            <w:r>
              <w:rPr>
                <w:rStyle w:val="Emphasis"/>
                <w:rFonts w:ascii="Times New Roman" w:hAnsi="Times New Roman"/>
                <w:b/>
                <w:sz w:val="20"/>
              </w:rPr>
              <w:t>Number of</w:t>
            </w:r>
          </w:p>
        </w:tc>
        <w:tc>
          <w:tcPr>
            <w:tcW w:w="71" w:type="dxa"/>
            <w:tcBorders/>
            <w:shd w:fill="FFFFFF" w:val="clear"/>
            <w:vAlign w:val="center"/>
          </w:tcPr>
          <w:p>
            <w:pPr>
              <w:pStyle w:val="TableContents"/>
              <w:bidi w:val="0"/>
              <w:spacing w:before="0" w:after="283"/>
              <w:jc w:val="left"/>
              <w:rPr/>
            </w:pPr>
            <w:r>
              <w:rPr/>
              <w:t> </w:t>
            </w:r>
          </w:p>
        </w:tc>
        <w:tc>
          <w:tcPr>
            <w:tcW w:w="71" w:type="dxa"/>
            <w:tcBorders/>
            <w:shd w:fill="FFFFFF" w:val="clear"/>
            <w:vAlign w:val="center"/>
          </w:tcPr>
          <w:p>
            <w:pPr>
              <w:pStyle w:val="TableContents"/>
              <w:bidi w:val="0"/>
              <w:spacing w:before="0" w:after="283"/>
              <w:ind w:left="0" w:right="0" w:hanging="0"/>
              <w:jc w:val="left"/>
              <w:rPr/>
            </w:pPr>
            <w:r>
              <w:rPr/>
              <w:t> </w:t>
            </w:r>
          </w:p>
        </w:tc>
        <w:tc>
          <w:tcPr>
            <w:tcW w:w="815" w:type="dxa"/>
            <w:gridSpan w:val="2"/>
            <w:tcBorders/>
            <w:shd w:fill="FFFFFF" w:val="clear"/>
            <w:vAlign w:val="center"/>
          </w:tcPr>
          <w:p>
            <w:pPr>
              <w:pStyle w:val="TableContents"/>
              <w:bidi w:val="0"/>
              <w:spacing w:before="0" w:after="283"/>
              <w:jc w:val="center"/>
              <w:rPr/>
            </w:pPr>
            <w:r>
              <w:rPr>
                <w:rStyle w:val="Emphasis"/>
                <w:rFonts w:ascii="Times New Roman" w:hAnsi="Times New Roman"/>
                <w:b/>
                <w:sz w:val="20"/>
              </w:rPr>
              <w:t>Exercise</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89" w:type="dxa"/>
            <w:gridSpan w:val="2"/>
            <w:tcBorders/>
            <w:shd w:fill="FFFFFF" w:val="clear"/>
            <w:vAlign w:val="center"/>
          </w:tcPr>
          <w:p>
            <w:pPr>
              <w:pStyle w:val="TableContents"/>
              <w:bidi w:val="0"/>
              <w:spacing w:before="0" w:after="283"/>
              <w:jc w:val="center"/>
              <w:rPr/>
            </w:pPr>
            <w:r>
              <w:rPr>
                <w:rStyle w:val="Emphasis"/>
                <w:rFonts w:ascii="Times New Roman" w:hAnsi="Times New Roman"/>
                <w:b/>
                <w:sz w:val="20"/>
              </w:rPr>
              <w:t>Number of</w:t>
            </w:r>
          </w:p>
        </w:tc>
        <w:tc>
          <w:tcPr>
            <w:tcW w:w="70" w:type="dxa"/>
            <w:tcBorders/>
            <w:shd w:fill="FFFFFF" w:val="clear"/>
            <w:vAlign w:val="center"/>
          </w:tcPr>
          <w:p>
            <w:pPr>
              <w:pStyle w:val="TableContents"/>
              <w:bidi w:val="0"/>
              <w:spacing w:before="0" w:after="283"/>
              <w:jc w:val="left"/>
              <w:rPr/>
            </w:pPr>
            <w:r>
              <w:rPr/>
              <w:t> </w:t>
            </w:r>
          </w:p>
        </w:tc>
        <w:tc>
          <w:tcPr>
            <w:tcW w:w="70" w:type="dxa"/>
            <w:tcBorders/>
            <w:shd w:fill="FFFFFF" w:val="clear"/>
            <w:vAlign w:val="center"/>
          </w:tcPr>
          <w:p>
            <w:pPr>
              <w:pStyle w:val="TableContents"/>
              <w:bidi w:val="0"/>
              <w:spacing w:before="0" w:after="283"/>
              <w:ind w:left="0" w:right="0" w:hanging="0"/>
              <w:jc w:val="left"/>
              <w:rPr/>
            </w:pPr>
            <w:r>
              <w:rPr/>
              <w:t> </w:t>
            </w:r>
          </w:p>
        </w:tc>
        <w:tc>
          <w:tcPr>
            <w:tcW w:w="815" w:type="dxa"/>
            <w:gridSpan w:val="2"/>
            <w:tcBorders/>
            <w:shd w:fill="FFFFFF" w:val="clear"/>
            <w:vAlign w:val="center"/>
          </w:tcPr>
          <w:p>
            <w:pPr>
              <w:pStyle w:val="TableContents"/>
              <w:bidi w:val="0"/>
              <w:spacing w:before="0" w:after="283"/>
              <w:jc w:val="center"/>
              <w:rPr/>
            </w:pPr>
            <w:r>
              <w:rPr>
                <w:rStyle w:val="Emphasis"/>
                <w:rFonts w:ascii="Times New Roman" w:hAnsi="Times New Roman"/>
                <w:b/>
                <w:sz w:val="20"/>
              </w:rPr>
              <w:t>Exercise</w:t>
            </w:r>
          </w:p>
        </w:tc>
        <w:tc>
          <w:tcPr>
            <w:tcW w:w="60" w:type="dxa"/>
            <w:tcBorders/>
            <w:shd w:fill="FFFFFF" w:val="clear"/>
            <w:vAlign w:val="center"/>
          </w:tcPr>
          <w:p>
            <w:pPr>
              <w:pStyle w:val="TableContents"/>
              <w:bidi w:val="0"/>
              <w:spacing w:before="0" w:after="283"/>
              <w:jc w:val="left"/>
              <w:rPr/>
            </w:pPr>
            <w:r>
              <w:rPr/>
              <w:t> </w:t>
            </w:r>
          </w:p>
        </w:tc>
      </w:tr>
      <w:tr>
        <w:trPr/>
        <w:tc>
          <w:tcPr>
            <w:tcW w:w="347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89"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Shares</w:t>
            </w:r>
          </w:p>
        </w:tc>
        <w:tc>
          <w:tcPr>
            <w:tcW w:w="71" w:type="dxa"/>
            <w:tcBorders/>
            <w:shd w:fill="FFFFFF" w:val="clear"/>
            <w:vAlign w:val="center"/>
          </w:tcPr>
          <w:p>
            <w:pPr>
              <w:pStyle w:val="TableContents"/>
              <w:bidi w:val="0"/>
              <w:spacing w:before="0" w:after="283"/>
              <w:jc w:val="left"/>
              <w:rPr/>
            </w:pPr>
            <w:r>
              <w:rPr/>
              <w:t> </w:t>
            </w:r>
          </w:p>
        </w:tc>
        <w:tc>
          <w:tcPr>
            <w:tcW w:w="71" w:type="dxa"/>
            <w:tcBorders/>
            <w:shd w:fill="FFFFFF" w:val="clear"/>
            <w:vAlign w:val="center"/>
          </w:tcPr>
          <w:p>
            <w:pPr>
              <w:pStyle w:val="TableContents"/>
              <w:bidi w:val="0"/>
              <w:spacing w:before="0" w:after="283"/>
              <w:ind w:left="0" w:right="0" w:hanging="0"/>
              <w:jc w:val="left"/>
              <w:rPr/>
            </w:pPr>
            <w:r>
              <w:rPr/>
              <w:t> </w:t>
            </w:r>
          </w:p>
        </w:tc>
        <w:tc>
          <w:tcPr>
            <w:tcW w:w="81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Price</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89"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Shares</w:t>
            </w:r>
          </w:p>
        </w:tc>
        <w:tc>
          <w:tcPr>
            <w:tcW w:w="70" w:type="dxa"/>
            <w:tcBorders/>
            <w:shd w:fill="FFFFFF" w:val="clear"/>
            <w:vAlign w:val="center"/>
          </w:tcPr>
          <w:p>
            <w:pPr>
              <w:pStyle w:val="TableContents"/>
              <w:bidi w:val="0"/>
              <w:spacing w:before="0" w:after="283"/>
              <w:jc w:val="left"/>
              <w:rPr/>
            </w:pPr>
            <w:r>
              <w:rPr/>
              <w:t> </w:t>
            </w:r>
          </w:p>
        </w:tc>
        <w:tc>
          <w:tcPr>
            <w:tcW w:w="70" w:type="dxa"/>
            <w:tcBorders/>
            <w:shd w:fill="FFFFFF" w:val="clear"/>
            <w:vAlign w:val="center"/>
          </w:tcPr>
          <w:p>
            <w:pPr>
              <w:pStyle w:val="TableContents"/>
              <w:bidi w:val="0"/>
              <w:spacing w:before="0" w:after="283"/>
              <w:ind w:left="0" w:right="0" w:hanging="0"/>
              <w:jc w:val="left"/>
              <w:rPr/>
            </w:pPr>
            <w:r>
              <w:rPr/>
              <w:t> </w:t>
            </w:r>
          </w:p>
        </w:tc>
        <w:tc>
          <w:tcPr>
            <w:tcW w:w="81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Price</w:t>
            </w:r>
          </w:p>
        </w:tc>
        <w:tc>
          <w:tcPr>
            <w:tcW w:w="60" w:type="dxa"/>
            <w:tcBorders/>
            <w:shd w:fill="FFFFFF" w:val="clear"/>
            <w:vAlign w:val="center"/>
          </w:tcPr>
          <w:p>
            <w:pPr>
              <w:pStyle w:val="TableContents"/>
              <w:bidi w:val="0"/>
              <w:spacing w:before="0" w:after="283"/>
              <w:jc w:val="left"/>
              <w:rPr/>
            </w:pPr>
            <w:r>
              <w:rPr/>
              <w:t> </w:t>
            </w:r>
          </w:p>
        </w:tc>
      </w:tr>
      <w:tr>
        <w:trPr/>
        <w:tc>
          <w:tcPr>
            <w:tcW w:w="347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1" w:type="dxa"/>
            <w:tcBorders/>
            <w:shd w:fill="FFFFFF" w:val="clear"/>
            <w:vAlign w:val="center"/>
          </w:tcPr>
          <w:p>
            <w:pPr>
              <w:pStyle w:val="TableContents"/>
              <w:bidi w:val="0"/>
              <w:spacing w:before="0" w:after="283"/>
              <w:jc w:val="left"/>
              <w:rPr/>
            </w:pPr>
            <w:r>
              <w:rPr/>
              <w:t> </w:t>
            </w:r>
          </w:p>
        </w:tc>
        <w:tc>
          <w:tcPr>
            <w:tcW w:w="808" w:type="dxa"/>
            <w:tcBorders/>
            <w:shd w:fill="FFFFFF" w:val="clear"/>
            <w:vAlign w:val="center"/>
          </w:tcPr>
          <w:p>
            <w:pPr>
              <w:pStyle w:val="TableContents"/>
              <w:bidi w:val="0"/>
              <w:spacing w:before="0" w:after="283"/>
              <w:jc w:val="left"/>
              <w:rPr/>
            </w:pPr>
            <w:r>
              <w:rPr/>
              <w:t> </w:t>
            </w:r>
          </w:p>
        </w:tc>
        <w:tc>
          <w:tcPr>
            <w:tcW w:w="71" w:type="dxa"/>
            <w:tcBorders/>
            <w:shd w:fill="FFFFFF" w:val="clear"/>
            <w:vAlign w:val="center"/>
          </w:tcPr>
          <w:p>
            <w:pPr>
              <w:pStyle w:val="TableContents"/>
              <w:bidi w:val="0"/>
              <w:spacing w:before="0" w:after="283"/>
              <w:jc w:val="left"/>
              <w:rPr/>
            </w:pPr>
            <w:r>
              <w:rPr/>
              <w:t> </w:t>
            </w:r>
          </w:p>
        </w:tc>
        <w:tc>
          <w:tcPr>
            <w:tcW w:w="71" w:type="dxa"/>
            <w:tcBorders/>
            <w:shd w:fill="FFFFFF" w:val="clear"/>
            <w:vAlign w:val="center"/>
          </w:tcPr>
          <w:p>
            <w:pPr>
              <w:pStyle w:val="TableContents"/>
              <w:bidi w:val="0"/>
              <w:spacing w:before="0" w:after="283"/>
              <w:jc w:val="left"/>
              <w:rPr/>
            </w:pPr>
            <w:r>
              <w:rPr/>
              <w:t> </w:t>
            </w:r>
          </w:p>
        </w:tc>
        <w:tc>
          <w:tcPr>
            <w:tcW w:w="167" w:type="dxa"/>
            <w:tcBorders/>
            <w:shd w:fill="FFFFFF" w:val="clear"/>
            <w:vAlign w:val="center"/>
          </w:tcPr>
          <w:p>
            <w:pPr>
              <w:pStyle w:val="TableContents"/>
              <w:bidi w:val="0"/>
              <w:spacing w:before="0" w:after="283"/>
              <w:jc w:val="left"/>
              <w:rPr/>
            </w:pPr>
            <w:r>
              <w:rPr/>
              <w:t> </w:t>
            </w:r>
          </w:p>
        </w:tc>
        <w:tc>
          <w:tcPr>
            <w:tcW w:w="648"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2" w:type="dxa"/>
            <w:tcBorders/>
            <w:shd w:fill="FFFFFF" w:val="clear"/>
            <w:vAlign w:val="center"/>
          </w:tcPr>
          <w:p>
            <w:pPr>
              <w:pStyle w:val="TableContents"/>
              <w:bidi w:val="0"/>
              <w:spacing w:before="0" w:after="283"/>
              <w:jc w:val="left"/>
              <w:rPr/>
            </w:pPr>
            <w:r>
              <w:rPr/>
              <w:t> </w:t>
            </w:r>
          </w:p>
        </w:tc>
        <w:tc>
          <w:tcPr>
            <w:tcW w:w="807" w:type="dxa"/>
            <w:tcBorders/>
            <w:shd w:fill="FFFFFF" w:val="clear"/>
            <w:vAlign w:val="center"/>
          </w:tcPr>
          <w:p>
            <w:pPr>
              <w:pStyle w:val="TableContents"/>
              <w:bidi w:val="0"/>
              <w:spacing w:before="0" w:after="283"/>
              <w:jc w:val="left"/>
              <w:rPr/>
            </w:pPr>
            <w:r>
              <w:rPr/>
              <w:t> </w:t>
            </w:r>
          </w:p>
        </w:tc>
        <w:tc>
          <w:tcPr>
            <w:tcW w:w="70" w:type="dxa"/>
            <w:tcBorders/>
            <w:shd w:fill="FFFFFF" w:val="clear"/>
            <w:vAlign w:val="center"/>
          </w:tcPr>
          <w:p>
            <w:pPr>
              <w:pStyle w:val="TableContents"/>
              <w:bidi w:val="0"/>
              <w:spacing w:before="0" w:after="283"/>
              <w:jc w:val="left"/>
              <w:rPr/>
            </w:pPr>
            <w:r>
              <w:rPr/>
              <w:t> </w:t>
            </w:r>
          </w:p>
        </w:tc>
        <w:tc>
          <w:tcPr>
            <w:tcW w:w="70" w:type="dxa"/>
            <w:tcBorders/>
            <w:shd w:fill="FFFFFF" w:val="clear"/>
            <w:vAlign w:val="center"/>
          </w:tcPr>
          <w:p>
            <w:pPr>
              <w:pStyle w:val="TableContents"/>
              <w:bidi w:val="0"/>
              <w:spacing w:before="0" w:after="283"/>
              <w:jc w:val="left"/>
              <w:rPr/>
            </w:pPr>
            <w:r>
              <w:rPr/>
              <w:t> </w:t>
            </w:r>
          </w:p>
        </w:tc>
        <w:tc>
          <w:tcPr>
            <w:tcW w:w="167" w:type="dxa"/>
            <w:tcBorders/>
            <w:shd w:fill="FFFFFF" w:val="clear"/>
            <w:vAlign w:val="center"/>
          </w:tcPr>
          <w:p>
            <w:pPr>
              <w:pStyle w:val="TableContents"/>
              <w:bidi w:val="0"/>
              <w:spacing w:before="0" w:after="283"/>
              <w:jc w:val="left"/>
              <w:rPr/>
            </w:pPr>
            <w:r>
              <w:rPr/>
              <w:t> </w:t>
            </w:r>
          </w:p>
        </w:tc>
        <w:tc>
          <w:tcPr>
            <w:tcW w:w="648"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r>
      <w:tr>
        <w:trPr/>
        <w:tc>
          <w:tcPr>
            <w:tcW w:w="3470"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Stock options outstanding and exercisable</w:t>
            </w:r>
          </w:p>
        </w:tc>
        <w:tc>
          <w:tcPr>
            <w:tcW w:w="60" w:type="dxa"/>
            <w:tcBorders/>
            <w:shd w:fill="CCEEFF" w:val="clear"/>
            <w:vAlign w:val="center"/>
          </w:tcPr>
          <w:p>
            <w:pPr>
              <w:pStyle w:val="TableContents"/>
              <w:bidi w:val="0"/>
              <w:spacing w:before="0" w:after="283"/>
              <w:jc w:val="left"/>
              <w:rPr/>
            </w:pPr>
            <w:r>
              <w:rPr/>
              <w:t> </w:t>
            </w:r>
          </w:p>
        </w:tc>
        <w:tc>
          <w:tcPr>
            <w:tcW w:w="81"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808"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16,500</w:t>
            </w:r>
          </w:p>
        </w:tc>
        <w:tc>
          <w:tcPr>
            <w:tcW w:w="71" w:type="dxa"/>
            <w:tcBorders/>
            <w:shd w:fill="CCEEFF" w:val="clear"/>
            <w:vAlign w:val="center"/>
          </w:tcPr>
          <w:p>
            <w:pPr>
              <w:pStyle w:val="TableContents"/>
              <w:bidi w:val="0"/>
              <w:spacing w:before="0" w:after="283"/>
              <w:jc w:val="left"/>
              <w:rPr/>
            </w:pPr>
            <w:r>
              <w:rPr/>
              <w:t> </w:t>
            </w:r>
          </w:p>
        </w:tc>
        <w:tc>
          <w:tcPr>
            <w:tcW w:w="71" w:type="dxa"/>
            <w:tcBorders/>
            <w:shd w:fill="CCEEFF" w:val="clear"/>
            <w:vAlign w:val="center"/>
          </w:tcPr>
          <w:p>
            <w:pPr>
              <w:pStyle w:val="TableContents"/>
              <w:bidi w:val="0"/>
              <w:spacing w:before="0" w:after="283"/>
              <w:ind w:left="0" w:right="0" w:hanging="0"/>
              <w:jc w:val="left"/>
              <w:rPr/>
            </w:pPr>
            <w:r>
              <w:rPr/>
              <w:t> </w:t>
            </w:r>
          </w:p>
        </w:tc>
        <w:tc>
          <w:tcPr>
            <w:tcW w:w="167"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648"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10.00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2"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807"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22,176</w:t>
            </w:r>
          </w:p>
        </w:tc>
        <w:tc>
          <w:tcPr>
            <w:tcW w:w="70"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ind w:left="0" w:right="0" w:hanging="0"/>
              <w:jc w:val="left"/>
              <w:rPr/>
            </w:pPr>
            <w:r>
              <w:rPr/>
              <w:t> </w:t>
            </w:r>
          </w:p>
        </w:tc>
        <w:tc>
          <w:tcPr>
            <w:tcW w:w="167"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648"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30.48</w:t>
            </w:r>
          </w:p>
        </w:tc>
        <w:tc>
          <w:tcPr>
            <w:tcW w:w="6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caps w:val="false"/>
          <w:smallCaps w:val="false"/>
          <w:sz w:val="20"/>
        </w:rPr>
        <w:t xml:space="preserve">The following table summarizes information for stock options outstanding and for stock options exercisable at </w:t>
      </w:r>
      <w:r>
        <w:rPr>
          <w:rStyle w:val="Emphasis"/>
          <w:rFonts w:ascii="Times New Roman" w:hAnsi="Times New Roman"/>
          <w:caps w:val="false"/>
          <w:smallCaps w:val="false"/>
          <w:sz w:val="20"/>
        </w:rPr>
        <w:t>September 30, 2025</w:t>
      </w:r>
      <w:r>
        <w:rPr>
          <w:rFonts w:ascii="Times New Roman" w:hAnsi="Times New Roman"/>
          <w:caps w:val="false"/>
          <w:smallCaps w:val="false"/>
          <w:sz w:val="20"/>
        </w:rPr>
        <w:t> by the remaining contractual term:</w:t>
      </w:r>
    </w:p>
    <w:p>
      <w:pPr>
        <w:pStyle w:val="TextBody"/>
        <w:bidi w:val="0"/>
        <w:spacing w:before="0" w:after="0"/>
        <w:ind w:left="0" w:right="0" w:hanging="0"/>
        <w:jc w:val="both"/>
        <w:rPr>
          <w:caps w:val="false"/>
          <w:smallCaps w:val="false"/>
        </w:rPr>
      </w:pPr>
      <w:r>
        <w:rPr>
          <w:caps w:val="false"/>
          <w:smallCaps w:val="false"/>
        </w:rPr>
        <w:t> </w:t>
      </w:r>
    </w:p>
    <w:tbl>
      <w:tblPr>
        <w:tblW w:w="4445" w:type="dxa"/>
        <w:jc w:val="left"/>
        <w:tblInd w:w="0" w:type="dxa"/>
        <w:tblLayout w:type="fixed"/>
        <w:tblCellMar>
          <w:top w:w="0" w:type="dxa"/>
          <w:left w:w="0" w:type="dxa"/>
          <w:bottom w:w="28" w:type="dxa"/>
          <w:right w:w="0" w:type="dxa"/>
        </w:tblCellMar>
      </w:tblPr>
      <w:tblGrid>
        <w:gridCol w:w="920"/>
        <w:gridCol w:w="60"/>
        <w:gridCol w:w="60"/>
        <w:gridCol w:w="125"/>
        <w:gridCol w:w="380"/>
        <w:gridCol w:w="60"/>
        <w:gridCol w:w="60"/>
        <w:gridCol w:w="125"/>
        <w:gridCol w:w="485"/>
        <w:gridCol w:w="60"/>
        <w:gridCol w:w="60"/>
        <w:gridCol w:w="170"/>
        <w:gridCol w:w="660"/>
        <w:gridCol w:w="60"/>
        <w:gridCol w:w="60"/>
        <w:gridCol w:w="186"/>
        <w:gridCol w:w="854"/>
        <w:gridCol w:w="60"/>
      </w:tblGrid>
      <w:tr>
        <w:trPr/>
        <w:tc>
          <w:tcPr>
            <w:tcW w:w="4385" w:type="dxa"/>
            <w:gridSpan w:val="17"/>
            <w:tcBorders>
              <w:bottom w:val="single" w:sz="2" w:space="0" w:color="000000"/>
            </w:tcBorders>
            <w:shd w:fill="FFFFFF" w:val="cle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Options Outstanding and Exercisable</w:t>
            </w:r>
          </w:p>
        </w:tc>
        <w:tc>
          <w:tcPr>
            <w:tcW w:w="60" w:type="dxa"/>
            <w:tcBorders/>
            <w:shd w:fill="FFFFFF" w:val="clear"/>
            <w:tcMar>
              <w:bottom w:w="0" w:type="dxa"/>
            </w:tcMar>
            <w:vAlign w:val="center"/>
          </w:tcPr>
          <w:p>
            <w:pPr>
              <w:pStyle w:val="TableContents"/>
              <w:bidi w:val="0"/>
              <w:spacing w:before="0" w:after="283"/>
              <w:jc w:val="left"/>
              <w:rPr/>
            </w:pPr>
            <w:r>
              <w:rPr/>
              <w:t> </w:t>
            </w:r>
          </w:p>
        </w:tc>
      </w:tr>
      <w:tr>
        <w:trPr/>
        <w:tc>
          <w:tcPr>
            <w:tcW w:w="92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1235" w:type="dxa"/>
            <w:gridSpan w:val="6"/>
            <w:tcBorders/>
            <w:shd w:fill="FFFFFF" w:val="clear"/>
            <w:tcMar>
              <w:bottom w:w="0"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Exercise</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830" w:type="dxa"/>
            <w:gridSpan w:val="2"/>
            <w:tcBorders/>
            <w:shd w:fill="FFFFFF" w:val="clear"/>
            <w:tcMar>
              <w:bottom w:w="0"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Weighted</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1040" w:type="dxa"/>
            <w:gridSpan w:val="2"/>
            <w:tcBorders/>
            <w:shd w:fill="FFFFFF" w:val="clear"/>
            <w:tcMar>
              <w:bottom w:w="0"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Remaining</w:t>
            </w:r>
          </w:p>
        </w:tc>
        <w:tc>
          <w:tcPr>
            <w:tcW w:w="60" w:type="dxa"/>
            <w:tcBorders/>
            <w:shd w:fill="FFFFFF" w:val="clear"/>
            <w:tcMar>
              <w:bottom w:w="0" w:type="dxa"/>
            </w:tcMar>
            <w:vAlign w:val="center"/>
          </w:tcPr>
          <w:p>
            <w:pPr>
              <w:pStyle w:val="TableContents"/>
              <w:bidi w:val="0"/>
              <w:spacing w:before="0" w:after="283"/>
              <w:jc w:val="left"/>
              <w:rPr/>
            </w:pPr>
            <w:r>
              <w:rPr/>
              <w:t> </w:t>
            </w:r>
          </w:p>
        </w:tc>
      </w:tr>
      <w:tr>
        <w:trPr/>
        <w:tc>
          <w:tcPr>
            <w:tcW w:w="92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1235" w:type="dxa"/>
            <w:gridSpan w:val="6"/>
            <w:tcBorders/>
            <w:shd w:fill="FFFFFF" w:val="clear"/>
            <w:tcMar>
              <w:bottom w:w="0"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Price</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830" w:type="dxa"/>
            <w:gridSpan w:val="2"/>
            <w:tcBorders/>
            <w:shd w:fill="FFFFFF" w:val="clear"/>
            <w:tcMar>
              <w:bottom w:w="0"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Average</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1040" w:type="dxa"/>
            <w:gridSpan w:val="2"/>
            <w:tcBorders/>
            <w:shd w:fill="FFFFFF" w:val="clear"/>
            <w:tcMar>
              <w:bottom w:w="0"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Contractual</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r>
      <w:tr>
        <w:trPr/>
        <w:tc>
          <w:tcPr>
            <w:tcW w:w="920" w:type="dxa"/>
            <w:tcBorders/>
            <w:shd w:fill="FFFFFF" w:val="clear"/>
            <w:tcMar>
              <w:bottom w:w="0"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Number of</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1235" w:type="dxa"/>
            <w:gridSpan w:val="6"/>
            <w:tcBorders>
              <w:bottom w:val="single" w:sz="2" w:space="0" w:color="000000"/>
            </w:tcBorders>
            <w:shd w:fill="FFFFFF" w:val="cle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Range</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830" w:type="dxa"/>
            <w:gridSpan w:val="2"/>
            <w:tcBorders/>
            <w:shd w:fill="FFFFFF" w:val="clear"/>
            <w:tcMar>
              <w:bottom w:w="0"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Exercise</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1040" w:type="dxa"/>
            <w:gridSpan w:val="2"/>
            <w:tcBorders/>
            <w:shd w:fill="FFFFFF" w:val="clear"/>
            <w:tcMar>
              <w:bottom w:w="0"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Term</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r>
      <w:tr>
        <w:trPr/>
        <w:tc>
          <w:tcPr>
            <w:tcW w:w="920" w:type="dxa"/>
            <w:tcBorders>
              <w:bottom w:val="single" w:sz="2" w:space="0" w:color="000000"/>
            </w:tcBorders>
            <w:shd w:fill="FFFFFF" w:val="cle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Shares</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505" w:type="dxa"/>
            <w:gridSpan w:val="2"/>
            <w:tcBorders>
              <w:bottom w:val="single" w:sz="2" w:space="0" w:color="000000"/>
            </w:tcBorders>
            <w:shd w:fill="FFFFFF" w:val="cle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Low</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610" w:type="dxa"/>
            <w:gridSpan w:val="2"/>
            <w:tcBorders>
              <w:bottom w:val="single" w:sz="2" w:space="0" w:color="000000"/>
            </w:tcBorders>
            <w:shd w:fill="FFFFFF" w:val="cle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High</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830" w:type="dxa"/>
            <w:gridSpan w:val="2"/>
            <w:tcBorders>
              <w:bottom w:val="single" w:sz="2" w:space="0" w:color="000000"/>
            </w:tcBorders>
            <w:shd w:fill="FFFFFF" w:val="cle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Price</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1040" w:type="dxa"/>
            <w:gridSpan w:val="2"/>
            <w:tcBorders>
              <w:bottom w:val="single" w:sz="2" w:space="0" w:color="000000"/>
            </w:tcBorders>
            <w:shd w:fill="FFFFFF" w:val="cle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(years)</w:t>
            </w:r>
          </w:p>
        </w:tc>
        <w:tc>
          <w:tcPr>
            <w:tcW w:w="60" w:type="dxa"/>
            <w:tcBorders/>
            <w:shd w:fill="FFFFFF" w:val="clear"/>
            <w:tcMar>
              <w:bottom w:w="0" w:type="dxa"/>
            </w:tcMar>
            <w:vAlign w:val="center"/>
          </w:tcPr>
          <w:p>
            <w:pPr>
              <w:pStyle w:val="TableContents"/>
              <w:bidi w:val="0"/>
              <w:spacing w:before="0" w:after="283"/>
              <w:jc w:val="left"/>
              <w:rPr/>
            </w:pPr>
            <w:r>
              <w:rPr/>
              <w:t> </w:t>
            </w:r>
          </w:p>
        </w:tc>
      </w:tr>
      <w:tr>
        <w:trPr/>
        <w:tc>
          <w:tcPr>
            <w:tcW w:w="92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25" w:type="dxa"/>
            <w:tcBorders/>
            <w:shd w:fill="FFFFFF" w:val="clear"/>
            <w:tcMar>
              <w:bottom w:w="0" w:type="dxa"/>
            </w:tcMar>
            <w:vAlign w:val="center"/>
          </w:tcPr>
          <w:p>
            <w:pPr>
              <w:pStyle w:val="TableContents"/>
              <w:bidi w:val="0"/>
              <w:spacing w:before="0" w:after="283"/>
              <w:jc w:val="left"/>
              <w:rPr/>
            </w:pPr>
            <w:r>
              <w:rPr/>
              <w:t> </w:t>
            </w:r>
          </w:p>
        </w:tc>
        <w:tc>
          <w:tcPr>
            <w:tcW w:w="38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25" w:type="dxa"/>
            <w:tcBorders/>
            <w:shd w:fill="FFFFFF" w:val="clear"/>
            <w:tcMar>
              <w:bottom w:w="0" w:type="dxa"/>
            </w:tcMar>
            <w:vAlign w:val="center"/>
          </w:tcPr>
          <w:p>
            <w:pPr>
              <w:pStyle w:val="TableContents"/>
              <w:bidi w:val="0"/>
              <w:spacing w:before="0" w:after="283"/>
              <w:jc w:val="left"/>
              <w:rPr/>
            </w:pPr>
            <w:r>
              <w:rPr/>
              <w:t> </w:t>
            </w:r>
          </w:p>
        </w:tc>
        <w:tc>
          <w:tcPr>
            <w:tcW w:w="48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70" w:type="dxa"/>
            <w:tcBorders/>
            <w:shd w:fill="FFFFFF" w:val="clear"/>
            <w:tcMar>
              <w:bottom w:w="0" w:type="dxa"/>
            </w:tcMar>
            <w:vAlign w:val="center"/>
          </w:tcPr>
          <w:p>
            <w:pPr>
              <w:pStyle w:val="TableContents"/>
              <w:bidi w:val="0"/>
              <w:spacing w:before="0" w:after="283"/>
              <w:jc w:val="left"/>
              <w:rPr/>
            </w:pPr>
            <w:r>
              <w:rPr/>
              <w:t> </w:t>
            </w:r>
          </w:p>
        </w:tc>
        <w:tc>
          <w:tcPr>
            <w:tcW w:w="6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86" w:type="dxa"/>
            <w:tcBorders/>
            <w:shd w:fill="FFFFFF" w:val="clear"/>
            <w:tcMar>
              <w:bottom w:w="0" w:type="dxa"/>
            </w:tcMar>
            <w:vAlign w:val="center"/>
          </w:tcPr>
          <w:p>
            <w:pPr>
              <w:pStyle w:val="TableContents"/>
              <w:bidi w:val="0"/>
              <w:spacing w:before="0" w:after="283"/>
              <w:jc w:val="left"/>
              <w:rPr/>
            </w:pPr>
            <w:r>
              <w:rPr/>
              <w:t> </w:t>
            </w:r>
          </w:p>
        </w:tc>
        <w:tc>
          <w:tcPr>
            <w:tcW w:w="854"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r>
      <w:tr>
        <w:trPr/>
        <w:tc>
          <w:tcPr>
            <w:tcW w:w="920" w:type="dxa"/>
            <w:tcBorders>
              <w:bottom w:val="double" w:sz="6" w:space="0" w:color="000000"/>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16,500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380" w:type="dxa"/>
            <w:tcBorders>
              <w:bottom w:val="double" w:sz="6" w:space="0" w:color="000000"/>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7.20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485" w:type="dxa"/>
            <w:tcBorders>
              <w:bottom w:val="double" w:sz="6" w:space="0" w:color="000000"/>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11.60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170" w:type="dxa"/>
            <w:tcBorders>
              <w:bottom w:val="double" w:sz="6" w:space="0" w:color="000000"/>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60" w:type="dxa"/>
            <w:tcBorders>
              <w:bottom w:val="double" w:sz="6" w:space="0" w:color="000000"/>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10.00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86" w:type="dxa"/>
            <w:tcBorders>
              <w:bottom w:val="double" w:sz="6" w:space="0" w:color="000000"/>
            </w:tcBorders>
            <w:shd w:fill="CCEEFF" w:val="clear"/>
            <w:vAlign w:val="center"/>
          </w:tcPr>
          <w:p>
            <w:pPr>
              <w:pStyle w:val="TableContents"/>
              <w:bidi w:val="0"/>
              <w:spacing w:before="0" w:after="283"/>
              <w:ind w:left="0" w:right="0" w:hanging="0"/>
              <w:jc w:val="left"/>
              <w:rPr/>
            </w:pPr>
            <w:r>
              <w:rPr/>
              <w:t> </w:t>
            </w:r>
          </w:p>
        </w:tc>
        <w:tc>
          <w:tcPr>
            <w:tcW w:w="854" w:type="dxa"/>
            <w:tcBorders>
              <w:bottom w:val="double" w:sz="6" w:space="0" w:color="000000"/>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2.0</w:t>
            </w:r>
          </w:p>
        </w:tc>
        <w:tc>
          <w:tcPr>
            <w:tcW w:w="60" w:type="dxa"/>
            <w:tcBorders/>
            <w:shd w:fill="CCEEFF" w:val="clear"/>
            <w:tcMar>
              <w:bottom w:w="0" w:type="dxa"/>
            </w:tcM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caps w:val="false"/>
          <w:smallCaps w:val="false"/>
          <w:sz w:val="20"/>
          <w:u w:val="single"/>
        </w:rPr>
      </w:pPr>
      <w:r>
        <w:rPr>
          <w:rFonts w:ascii="Times New Roman" w:hAnsi="Times New Roman"/>
          <w:b/>
          <w:caps w:val="false"/>
          <w:smallCaps w:val="false"/>
          <w:sz w:val="20"/>
          <w:u w:val="single"/>
        </w:rPr>
        <w:t>Restricted Stock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caps w:val="false"/>
          <w:smallCaps w:val="false"/>
          <w:sz w:val="20"/>
        </w:rPr>
        <w:t xml:space="preserve">The Company grants restricted stock under its incentive plans covering shares of common stock to employees and directors of the Company. All of the restricted stock awards are time-based awards and are amortized ratably from grant date over a requisite service period. Forfeitures of restricted stock awards are recognized as they occur. Restricted stock granted to employees is reduced by shares forfeited to pay withholding tax. Non-vested shares of restricted stock are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included in common shares outstanding until vesting has occurred.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caps w:val="false"/>
          <w:smallCaps w:val="false"/>
          <w:sz w:val="20"/>
        </w:rPr>
        <w:t xml:space="preserve">The following table presents the changes in non-vested restricted stock awards to all employees and directors for the </w:t>
      </w:r>
      <w:r>
        <w:rPr>
          <w:rStyle w:val="Emphasis"/>
          <w:rFonts w:ascii="Times New Roman" w:hAnsi="Times New Roman"/>
          <w:caps w:val="false"/>
          <w:smallCaps w:val="false"/>
          <w:sz w:val="20"/>
        </w:rPr>
        <w:t>nine</w:t>
      </w:r>
      <w:r>
        <w:rPr>
          <w:rFonts w:ascii="Times New Roman" w:hAnsi="Times New Roman"/>
          <w:caps w:val="false"/>
          <w:smallCaps w:val="false"/>
          <w:sz w:val="20"/>
        </w:rPr>
        <w:t xml:space="preserve"> months ended </w:t>
      </w:r>
      <w:r>
        <w:rPr>
          <w:rStyle w:val="Emphasis"/>
          <w:rFonts w:ascii="Times New Roman" w:hAnsi="Times New Roman"/>
          <w:caps w:val="false"/>
          <w:smallCaps w:val="false"/>
          <w:sz w:val="20"/>
        </w:rPr>
        <w:t>September 30, 2025</w:t>
      </w:r>
      <w:r>
        <w:rPr>
          <w:rFonts w:ascii="Times New Roman" w:hAnsi="Times New Roman"/>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tbl>
      <w:tblPr>
        <w:tblW w:w="6785" w:type="dxa"/>
        <w:jc w:val="left"/>
        <w:tblInd w:w="0" w:type="dxa"/>
        <w:tblLayout w:type="fixed"/>
        <w:tblCellMar>
          <w:top w:w="0" w:type="dxa"/>
          <w:left w:w="0" w:type="dxa"/>
          <w:bottom w:w="0" w:type="dxa"/>
          <w:right w:w="0" w:type="dxa"/>
        </w:tblCellMar>
      </w:tblPr>
      <w:tblGrid>
        <w:gridCol w:w="4310"/>
        <w:gridCol w:w="60"/>
        <w:gridCol w:w="60"/>
        <w:gridCol w:w="905"/>
        <w:gridCol w:w="80"/>
        <w:gridCol w:w="60"/>
        <w:gridCol w:w="309"/>
        <w:gridCol w:w="941"/>
        <w:gridCol w:w="60"/>
      </w:tblGrid>
      <w:tr>
        <w:trPr/>
        <w:tc>
          <w:tcPr>
            <w:tcW w:w="431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05" w:type="dxa"/>
            <w:tcBorders/>
            <w:shd w:fill="FFFFFF" w:val="clear"/>
            <w:vAlign w:val="center"/>
          </w:tcPr>
          <w:p>
            <w:pPr>
              <w:pStyle w:val="TableContents"/>
              <w:bidi w:val="0"/>
              <w:spacing w:before="0" w:after="283"/>
              <w:jc w:val="center"/>
              <w:rPr/>
            </w:pPr>
            <w:r>
              <w:rPr>
                <w:rStyle w:val="Emphasis"/>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50" w:type="dxa"/>
            <w:gridSpan w:val="2"/>
            <w:tcBorders/>
            <w:shd w:fill="FFFFFF" w:val="cle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Weighted-Avg.</w:t>
            </w:r>
          </w:p>
        </w:tc>
        <w:tc>
          <w:tcPr>
            <w:tcW w:w="60" w:type="dxa"/>
            <w:tcBorders/>
            <w:shd w:fill="FFFFFF" w:val="clear"/>
            <w:vAlign w:val="center"/>
          </w:tcPr>
          <w:p>
            <w:pPr>
              <w:pStyle w:val="TableContents"/>
              <w:bidi w:val="0"/>
              <w:spacing w:before="0" w:after="283"/>
              <w:jc w:val="left"/>
              <w:rPr/>
            </w:pPr>
            <w:r>
              <w:rPr/>
              <w:t> </w:t>
            </w:r>
          </w:p>
        </w:tc>
      </w:tr>
      <w:tr>
        <w:trPr/>
        <w:tc>
          <w:tcPr>
            <w:tcW w:w="431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05" w:type="dxa"/>
            <w:tcBorders/>
            <w:shd w:fill="FFFFFF" w:val="clear"/>
            <w:vAlign w:val="center"/>
          </w:tcPr>
          <w:p>
            <w:pPr>
              <w:pStyle w:val="TableContents"/>
              <w:bidi w:val="0"/>
              <w:spacing w:before="0" w:after="283"/>
              <w:jc w:val="center"/>
              <w:rPr/>
            </w:pPr>
            <w:r>
              <w:rPr>
                <w:rStyle w:val="Emphasis"/>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50" w:type="dxa"/>
            <w:gridSpan w:val="2"/>
            <w:tcBorders/>
            <w:shd w:fill="FFFFFF" w:val="cle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Grant Date</w:t>
            </w:r>
          </w:p>
        </w:tc>
        <w:tc>
          <w:tcPr>
            <w:tcW w:w="60" w:type="dxa"/>
            <w:tcBorders/>
            <w:shd w:fill="FFFFFF" w:val="clear"/>
            <w:vAlign w:val="center"/>
          </w:tcPr>
          <w:p>
            <w:pPr>
              <w:pStyle w:val="TableContents"/>
              <w:bidi w:val="0"/>
              <w:spacing w:before="0" w:after="283"/>
              <w:jc w:val="left"/>
              <w:rPr/>
            </w:pPr>
            <w:r>
              <w:rPr/>
              <w:t> </w:t>
            </w:r>
          </w:p>
        </w:tc>
      </w:tr>
      <w:tr>
        <w:trPr/>
        <w:tc>
          <w:tcPr>
            <w:tcW w:w="431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05" w:type="dxa"/>
            <w:tcBorders/>
            <w:shd w:fill="FFFFFF" w:val="clear"/>
            <w:vAlign w:val="center"/>
          </w:tcPr>
          <w:p>
            <w:pPr>
              <w:pStyle w:val="TableContents"/>
              <w:bidi w:val="0"/>
              <w:spacing w:before="0" w:after="283"/>
              <w:jc w:val="center"/>
              <w:rPr/>
            </w:pPr>
            <w:r>
              <w:rPr>
                <w:rStyle w:val="Emphasis"/>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50" w:type="dxa"/>
            <w:gridSpan w:val="2"/>
            <w:tcBorders/>
            <w:shd w:fill="FFFFFF" w:val="cle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Fair Value</w:t>
            </w:r>
          </w:p>
        </w:tc>
        <w:tc>
          <w:tcPr>
            <w:tcW w:w="60" w:type="dxa"/>
            <w:tcBorders/>
            <w:shd w:fill="FFFFFF" w:val="clear"/>
            <w:vAlign w:val="center"/>
          </w:tcPr>
          <w:p>
            <w:pPr>
              <w:pStyle w:val="TableContents"/>
              <w:bidi w:val="0"/>
              <w:spacing w:before="0" w:after="283"/>
              <w:jc w:val="left"/>
              <w:rPr/>
            </w:pPr>
            <w:r>
              <w:rPr/>
              <w:t> </w:t>
            </w:r>
          </w:p>
        </w:tc>
      </w:tr>
      <w:tr>
        <w:trPr/>
        <w:tc>
          <w:tcPr>
            <w:tcW w:w="431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96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Shares</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5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Per Share</w:t>
            </w:r>
          </w:p>
        </w:tc>
        <w:tc>
          <w:tcPr>
            <w:tcW w:w="60" w:type="dxa"/>
            <w:tcBorders/>
            <w:shd w:fill="FFFFFF" w:val="clear"/>
            <w:vAlign w:val="center"/>
          </w:tcPr>
          <w:p>
            <w:pPr>
              <w:pStyle w:val="TableContents"/>
              <w:bidi w:val="0"/>
              <w:spacing w:before="0" w:after="283"/>
              <w:jc w:val="left"/>
              <w:rPr/>
            </w:pPr>
            <w:r>
              <w:rPr/>
              <w:t> </w:t>
            </w:r>
          </w:p>
        </w:tc>
      </w:tr>
      <w:tr>
        <w:trPr/>
        <w:tc>
          <w:tcPr>
            <w:tcW w:w="431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05"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09" w:type="dxa"/>
            <w:tcBorders/>
            <w:shd w:fill="FFFFFF" w:val="clear"/>
            <w:vAlign w:val="center"/>
          </w:tcPr>
          <w:p>
            <w:pPr>
              <w:pStyle w:val="TableContents"/>
              <w:bidi w:val="0"/>
              <w:spacing w:before="0" w:after="283"/>
              <w:jc w:val="left"/>
              <w:rPr/>
            </w:pPr>
            <w:r>
              <w:rPr/>
              <w:t> </w:t>
            </w:r>
          </w:p>
        </w:tc>
        <w:tc>
          <w:tcPr>
            <w:tcW w:w="941"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r>
      <w:tr>
        <w:trPr/>
        <w:tc>
          <w:tcPr>
            <w:tcW w:w="4310"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Non-vested restricted stock as of December 31, 2024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90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1,450,695</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309"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941"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1.41</w:t>
            </w:r>
          </w:p>
        </w:tc>
        <w:tc>
          <w:tcPr>
            <w:tcW w:w="60" w:type="dxa"/>
            <w:tcBorders/>
            <w:shd w:fill="CCEEFF" w:val="clear"/>
            <w:vAlign w:val="center"/>
          </w:tcPr>
          <w:p>
            <w:pPr>
              <w:pStyle w:val="TableContents"/>
              <w:bidi w:val="0"/>
              <w:spacing w:before="0" w:after="283"/>
              <w:jc w:val="left"/>
              <w:rPr/>
            </w:pPr>
            <w:r>
              <w:rPr/>
              <w:t> </w:t>
            </w:r>
          </w:p>
        </w:tc>
      </w:tr>
      <w:tr>
        <w:trPr/>
        <w:tc>
          <w:tcPr>
            <w:tcW w:w="4310" w:type="dxa"/>
            <w:tcBorders/>
            <w:shd w:fill="FFFF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Granted</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905"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1,140,000</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309" w:type="dxa"/>
            <w:tcBorders/>
            <w:shd w:fill="FFFF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941"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2.03</w:t>
            </w:r>
          </w:p>
        </w:tc>
        <w:tc>
          <w:tcPr>
            <w:tcW w:w="60" w:type="dxa"/>
            <w:tcBorders/>
            <w:shd w:fill="FFFFFF" w:val="clear"/>
            <w:vAlign w:val="center"/>
          </w:tcPr>
          <w:p>
            <w:pPr>
              <w:pStyle w:val="TableContents"/>
              <w:bidi w:val="0"/>
              <w:spacing w:before="0" w:after="283"/>
              <w:jc w:val="left"/>
              <w:rPr/>
            </w:pPr>
            <w:r>
              <w:rPr/>
              <w:t> </w:t>
            </w:r>
          </w:p>
        </w:tc>
      </w:tr>
      <w:tr>
        <w:trPr/>
        <w:tc>
          <w:tcPr>
            <w:tcW w:w="4310" w:type="dxa"/>
            <w:tcBorders/>
            <w:shd w:fill="CCEE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Vested</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90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(1,023,515</w:t>
            </w:r>
          </w:p>
        </w:tc>
        <w:tc>
          <w:tcPr>
            <w:tcW w:w="80"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309"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941"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1.58</w:t>
            </w:r>
          </w:p>
        </w:tc>
        <w:tc>
          <w:tcPr>
            <w:tcW w:w="60" w:type="dxa"/>
            <w:tcBorders/>
            <w:shd w:fill="CCEEFF" w:val="clear"/>
            <w:vAlign w:val="center"/>
          </w:tcPr>
          <w:p>
            <w:pPr>
              <w:pStyle w:val="TableContents"/>
              <w:bidi w:val="0"/>
              <w:spacing w:before="0" w:after="283"/>
              <w:ind w:left="0" w:right="0" w:hanging="0"/>
              <w:jc w:val="left"/>
              <w:rPr/>
            </w:pPr>
            <w:r>
              <w:rPr/>
              <w:t> </w:t>
            </w:r>
          </w:p>
        </w:tc>
      </w:tr>
      <w:tr>
        <w:trPr/>
        <w:tc>
          <w:tcPr>
            <w:tcW w:w="4310"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Forfeited</w:t>
            </w:r>
          </w:p>
        </w:tc>
        <w:tc>
          <w:tcPr>
            <w:tcW w:w="60" w:type="dxa"/>
            <w:tcBorders/>
            <w:shd w:fill="FFFFFF" w:val="clear"/>
            <w:vAlign w:val="center"/>
          </w:tcPr>
          <w:p>
            <w:pPr>
              <w:pStyle w:val="TableContents"/>
              <w:bidi w:val="0"/>
              <w:spacing w:before="0" w:after="0"/>
              <w:ind w:left="0" w:right="0" w:hanging="0"/>
              <w:jc w:val="left"/>
              <w:rPr/>
            </w:pPr>
            <w:r>
              <w:rPr/>
              <w:t> </w:t>
            </w:r>
          </w:p>
        </w:tc>
        <w:tc>
          <w:tcPr>
            <w:tcW w:w="6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905"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(76,000</w:t>
            </w:r>
          </w:p>
        </w:tc>
        <w:tc>
          <w:tcPr>
            <w:tcW w:w="80"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c>
          <w:tcPr>
            <w:tcW w:w="60" w:type="dxa"/>
            <w:tcBorders/>
            <w:shd w:fill="FFFFFF" w:val="clear"/>
            <w:vAlign w:val="center"/>
          </w:tcPr>
          <w:p>
            <w:pPr>
              <w:pStyle w:val="TableContents"/>
              <w:bidi w:val="0"/>
              <w:spacing w:before="0" w:after="0"/>
              <w:ind w:left="0" w:right="0" w:hanging="0"/>
              <w:jc w:val="left"/>
              <w:rPr/>
            </w:pPr>
            <w:r>
              <w:rPr/>
              <w:t> </w:t>
            </w:r>
          </w:p>
        </w:tc>
        <w:tc>
          <w:tcPr>
            <w:tcW w:w="309"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c>
          <w:tcPr>
            <w:tcW w:w="941"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2.03</w:t>
            </w:r>
          </w:p>
        </w:tc>
        <w:tc>
          <w:tcPr>
            <w:tcW w:w="60" w:type="dxa"/>
            <w:tcBorders/>
            <w:shd w:fill="FFFFFF" w:val="clear"/>
            <w:vAlign w:val="center"/>
          </w:tcPr>
          <w:p>
            <w:pPr>
              <w:pStyle w:val="TableContents"/>
              <w:bidi w:val="0"/>
              <w:spacing w:before="0" w:after="0"/>
              <w:jc w:val="left"/>
              <w:rPr/>
            </w:pPr>
            <w:r>
              <w:rPr/>
              <w:t> </w:t>
            </w:r>
          </w:p>
        </w:tc>
      </w:tr>
      <w:tr>
        <w:trPr/>
        <w:tc>
          <w:tcPr>
            <w:tcW w:w="4310"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Non-vested restricted stock as of September 30, 2025</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0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1,491,180</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309"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941"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1.74</w:t>
            </w:r>
          </w:p>
        </w:tc>
        <w:tc>
          <w:tcPr>
            <w:tcW w:w="6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caps w:val="false"/>
          <w:smallCaps w:val="false"/>
          <w:sz w:val="20"/>
        </w:rPr>
        <w:t xml:space="preserve">For the </w:t>
      </w:r>
      <w:r>
        <w:rPr>
          <w:rStyle w:val="Emphasis"/>
          <w:rFonts w:ascii="Times New Roman" w:hAnsi="Times New Roman"/>
          <w:caps w:val="false"/>
          <w:smallCaps w:val="false"/>
          <w:sz w:val="20"/>
        </w:rPr>
        <w:t>nine</w:t>
      </w:r>
      <w:r>
        <w:rPr>
          <w:rFonts w:ascii="Times New Roman" w:hAnsi="Times New Roman"/>
          <w:caps w:val="false"/>
          <w:smallCaps w:val="false"/>
          <w:sz w:val="20"/>
        </w:rPr>
        <w:t xml:space="preserve"> months ended </w:t>
      </w:r>
      <w:r>
        <w:rPr>
          <w:rStyle w:val="Emphasis"/>
          <w:rFonts w:ascii="Times New Roman" w:hAnsi="Times New Roman"/>
          <w:caps w:val="false"/>
          <w:smallCaps w:val="false"/>
          <w:sz w:val="20"/>
        </w:rPr>
        <w:t xml:space="preserve">September 30, 2025 </w:t>
      </w:r>
      <w:r>
        <w:rPr>
          <w:rFonts w:ascii="Times New Roman" w:hAnsi="Times New Roman"/>
          <w:caps w:val="false"/>
          <w:smallCaps w:val="false"/>
          <w:sz w:val="20"/>
        </w:rPr>
        <w:t xml:space="preserve">and </w:t>
      </w:r>
      <w:r>
        <w:rPr>
          <w:rStyle w:val="Emphasis"/>
          <w:rFonts w:ascii="Times New Roman" w:hAnsi="Times New Roman"/>
          <w:caps w:val="false"/>
          <w:smallCaps w:val="false"/>
          <w:sz w:val="20"/>
        </w:rPr>
        <w:t>2024</w:t>
      </w:r>
      <w:r>
        <w:rPr>
          <w:rFonts w:ascii="Times New Roman" w:hAnsi="Times New Roman"/>
          <w:caps w:val="false"/>
          <w:smallCaps w:val="false"/>
          <w:sz w:val="20"/>
        </w:rPr>
        <w:t xml:space="preserve">, the Company recognized $1.5 million and $0.9 million, respectively, of stock compensation expense related to restricted stock grants. Unrecognized compensation cost related to non-vested awards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yet recorded in the Company’s Condensed Consolidated Statements of Operations as of </w:t>
      </w:r>
      <w:r>
        <w:rPr>
          <w:rStyle w:val="Emphasis"/>
          <w:rFonts w:ascii="Times New Roman" w:hAnsi="Times New Roman"/>
          <w:caps w:val="false"/>
          <w:smallCaps w:val="false"/>
          <w:sz w:val="20"/>
        </w:rPr>
        <w:t xml:space="preserve"> September 30, 2025</w:t>
      </w:r>
      <w:r>
        <w:rPr>
          <w:rFonts w:ascii="Times New Roman" w:hAnsi="Times New Roman"/>
          <w:caps w:val="false"/>
          <w:smallCaps w:val="false"/>
          <w:sz w:val="20"/>
        </w:rPr>
        <w:t xml:space="preserve"> was $1.2 million. This cost is expected to be recognized over a weighted average period of 1.7 years.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pPr>
      <w:r>
        <w:rPr>
          <w:rStyle w:val="Emphasis"/>
          <w:rFonts w:ascii="Times New Roman" w:hAnsi="Times New Roman"/>
          <w:sz w:val="20"/>
        </w:rPr>
        <w:t>13</w:t>
      </w:r>
      <w:r>
        <w:rPr>
          <w:rFonts w:ascii="Times New Roman" w:hAnsi="Times New Roman"/>
          <w:sz w:val="20"/>
        </w:rPr>
        <w:t xml:space="preserve">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283"/>
        <w:jc w:val="left"/>
        <w:rPr/>
      </w:pPr>
      <w:r>
        <w:rPr/>
        <w:t xml:space="preserve">  </w:t>
      </w:r>
    </w:p>
    <w:p>
      <w:pPr>
        <w:pStyle w:val="TextBody"/>
        <w:bidi w:val="0"/>
        <w:spacing w:before="0" w:after="0"/>
        <w:ind w:left="0" w:right="0" w:hanging="0"/>
        <w:jc w:val="both"/>
        <w:rPr>
          <w:rFonts w:ascii="Times New Roman" w:hAnsi="Times New Roman"/>
          <w:b/>
          <w:caps w:val="false"/>
          <w:smallCaps w:val="false"/>
          <w:sz w:val="20"/>
          <w:u w:val="single"/>
        </w:rPr>
      </w:pPr>
      <w:r>
        <w:rPr>
          <w:rFonts w:ascii="Times New Roman" w:hAnsi="Times New Roman"/>
          <w:b/>
          <w:caps w:val="false"/>
          <w:smallCaps w:val="false"/>
          <w:sz w:val="20"/>
          <w:u w:val="single"/>
        </w:rPr>
        <w:t>Share Repurchase Program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caps w:val="false"/>
          <w:smallCaps w:val="false"/>
          <w:sz w:val="20"/>
        </w:rPr>
        <w:t xml:space="preserve">On </w:t>
      </w:r>
      <w:r>
        <w:rPr>
          <w:rStyle w:val="Emphasis"/>
          <w:rFonts w:ascii="Times New Roman" w:hAnsi="Times New Roman"/>
          <w:caps w:val="false"/>
          <w:smallCaps w:val="false"/>
          <w:sz w:val="20"/>
        </w:rPr>
        <w:t xml:space="preserve">January 29, 2025, </w:t>
      </w:r>
      <w:r>
        <w:rPr>
          <w:rFonts w:ascii="Times New Roman" w:hAnsi="Times New Roman"/>
          <w:caps w:val="false"/>
          <w:smallCaps w:val="false"/>
          <w:sz w:val="20"/>
        </w:rPr>
        <w:t xml:space="preserve">the Board of Directors of the Company authorized and approved an extension of the ongoing share repurchase program for up to $5.0 million of the outstanding shares of the Company’s common stock originally approved by the Board of Directors on </w:t>
      </w:r>
      <w:r>
        <w:rPr>
          <w:rStyle w:val="Emphasis"/>
          <w:rFonts w:ascii="Times New Roman" w:hAnsi="Times New Roman"/>
          <w:caps w:val="false"/>
          <w:smallCaps w:val="false"/>
          <w:sz w:val="20"/>
        </w:rPr>
        <w:t xml:space="preserve">April 26, 2023 </w:t>
      </w:r>
      <w:r>
        <w:rPr>
          <w:rFonts w:ascii="Times New Roman" w:hAnsi="Times New Roman"/>
          <w:caps w:val="false"/>
          <w:smallCaps w:val="false"/>
          <w:sz w:val="20"/>
        </w:rPr>
        <w:t xml:space="preserve">and subsequently extended. Subject to any future extension in the discretion of the Board of Directors of the Company, the repurchase program is now scheduled to expire on </w:t>
      </w:r>
      <w:r>
        <w:rPr>
          <w:rStyle w:val="Emphasis"/>
          <w:rFonts w:ascii="Times New Roman" w:hAnsi="Times New Roman"/>
          <w:caps w:val="false"/>
          <w:smallCaps w:val="false"/>
          <w:sz w:val="20"/>
        </w:rPr>
        <w:t xml:space="preserve">June 30, 2026, </w:t>
      </w:r>
      <w:r>
        <w:rPr>
          <w:rFonts w:ascii="Times New Roman" w:hAnsi="Times New Roman"/>
          <w:caps w:val="false"/>
          <w:smallCaps w:val="false"/>
          <w:sz w:val="20"/>
        </w:rPr>
        <w:t>when a maximum of $5.0 million of the Company’s common stock has been repurchased, or when such program is discontinued by the Board of Directors.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caps w:val="false"/>
          <w:smallCaps w:val="false"/>
          <w:sz w:val="20"/>
        </w:rPr>
        <w:t xml:space="preserve">Under the stock repurchase program, shares are repurchased from time to time in the open market or through negotiated transactions at prevailing market prices, or by other means in accordance with federal securities laws. Repurchases are made at management’s discretion at prices management considers to be attractive and in the best interests of both the Company and its stockholders, subject to the availability of stock, general market conditions, the trading price of the stock, alternative uses for capital, and the Company’s financial performance. The repurchase program is funded using the Company’s working capital. The repurchased shares are cancelled and therefore will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be held in treasury or reissued.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caps w:val="false"/>
          <w:smallCaps w:val="false"/>
          <w:sz w:val="20"/>
        </w:rPr>
        <w:t>The following table presents the activity in the share repurchase program for the </w:t>
      </w:r>
      <w:r>
        <w:rPr>
          <w:rStyle w:val="Emphasis"/>
          <w:rFonts w:ascii="Times New Roman" w:hAnsi="Times New Roman"/>
          <w:caps w:val="false"/>
          <w:smallCaps w:val="false"/>
          <w:sz w:val="20"/>
        </w:rPr>
        <w:t>three</w:t>
      </w:r>
      <w:r>
        <w:rPr>
          <w:rFonts w:ascii="Times New Roman" w:hAnsi="Times New Roman"/>
          <w:caps w:val="false"/>
          <w:smallCaps w:val="false"/>
          <w:sz w:val="20"/>
        </w:rPr>
        <w:t xml:space="preserve"> and </w:t>
      </w:r>
      <w:r>
        <w:rPr>
          <w:rStyle w:val="Emphasis"/>
          <w:rFonts w:ascii="Times New Roman" w:hAnsi="Times New Roman"/>
          <w:caps w:val="false"/>
          <w:smallCaps w:val="false"/>
          <w:sz w:val="20"/>
        </w:rPr>
        <w:t>nine</w:t>
      </w:r>
      <w:r>
        <w:rPr>
          <w:rFonts w:ascii="Times New Roman" w:hAnsi="Times New Roman"/>
          <w:caps w:val="false"/>
          <w:smallCaps w:val="false"/>
          <w:sz w:val="20"/>
        </w:rPr>
        <w:t xml:space="preserve"> months ended </w:t>
      </w:r>
      <w:r>
        <w:rPr>
          <w:rStyle w:val="Emphasis"/>
          <w:rFonts w:ascii="Times New Roman" w:hAnsi="Times New Roman"/>
          <w:caps w:val="false"/>
          <w:smallCaps w:val="false"/>
          <w:sz w:val="20"/>
        </w:rPr>
        <w:t xml:space="preserve">September 30, 2025 </w:t>
      </w:r>
      <w:r>
        <w:rPr>
          <w:rFonts w:ascii="Times New Roman" w:hAnsi="Times New Roman"/>
          <w:caps w:val="false"/>
          <w:smallCaps w:val="false"/>
          <w:sz w:val="20"/>
        </w:rPr>
        <w:t xml:space="preserve">and </w:t>
      </w:r>
      <w:r>
        <w:rPr>
          <w:rStyle w:val="Emphasis"/>
          <w:rFonts w:ascii="Times New Roman" w:hAnsi="Times New Roman"/>
          <w:caps w:val="false"/>
          <w:smallCaps w:val="false"/>
          <w:sz w:val="20"/>
        </w:rPr>
        <w:t>2024</w:t>
      </w:r>
      <w:r>
        <w:rPr>
          <w:rFonts w:ascii="Times New Roman" w:hAnsi="Times New Roman"/>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tbl>
      <w:tblPr>
        <w:tblW w:w="8800" w:type="dxa"/>
        <w:jc w:val="left"/>
        <w:tblInd w:w="0" w:type="dxa"/>
        <w:tblLayout w:type="fixed"/>
        <w:tblCellMar>
          <w:top w:w="0" w:type="dxa"/>
          <w:left w:w="0" w:type="dxa"/>
          <w:bottom w:w="0" w:type="dxa"/>
          <w:right w:w="0" w:type="dxa"/>
        </w:tblCellMar>
      </w:tblPr>
      <w:tblGrid>
        <w:gridCol w:w="2705"/>
        <w:gridCol w:w="60"/>
        <w:gridCol w:w="397"/>
        <w:gridCol w:w="254"/>
        <w:gridCol w:w="190"/>
        <w:gridCol w:w="190"/>
        <w:gridCol w:w="397"/>
        <w:gridCol w:w="1543"/>
        <w:gridCol w:w="60"/>
        <w:gridCol w:w="60"/>
        <w:gridCol w:w="269"/>
        <w:gridCol w:w="1044"/>
        <w:gridCol w:w="129"/>
        <w:gridCol w:w="129"/>
        <w:gridCol w:w="269"/>
        <w:gridCol w:w="1044"/>
        <w:gridCol w:w="60"/>
      </w:tblGrid>
      <w:tr>
        <w:trPr/>
        <w:tc>
          <w:tcPr>
            <w:tcW w:w="270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971"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Three Months Ended September 30,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884"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Nine Months Ended September 30,</w:t>
            </w:r>
          </w:p>
        </w:tc>
        <w:tc>
          <w:tcPr>
            <w:tcW w:w="60" w:type="dxa"/>
            <w:tcBorders/>
            <w:shd w:fill="FFFFFF" w:val="clear"/>
            <w:vAlign w:val="center"/>
          </w:tcPr>
          <w:p>
            <w:pPr>
              <w:pStyle w:val="TableContents"/>
              <w:bidi w:val="0"/>
              <w:spacing w:before="0" w:after="283"/>
              <w:jc w:val="left"/>
              <w:rPr/>
            </w:pPr>
            <w:r>
              <w:rPr/>
              <w:t> </w:t>
            </w:r>
          </w:p>
        </w:tc>
      </w:tr>
      <w:tr>
        <w:trPr/>
        <w:tc>
          <w:tcPr>
            <w:tcW w:w="270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651"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2025</w:t>
            </w:r>
          </w:p>
        </w:tc>
        <w:tc>
          <w:tcPr>
            <w:tcW w:w="190" w:type="dxa"/>
            <w:tcBorders/>
            <w:shd w:fill="FFFFFF" w:val="clear"/>
            <w:vAlign w:val="center"/>
          </w:tcPr>
          <w:p>
            <w:pPr>
              <w:pStyle w:val="TableContents"/>
              <w:bidi w:val="0"/>
              <w:spacing w:before="0" w:after="283"/>
              <w:jc w:val="left"/>
              <w:rPr/>
            </w:pPr>
            <w:r>
              <w:rPr/>
              <w:t> </w:t>
            </w:r>
          </w:p>
        </w:tc>
        <w:tc>
          <w:tcPr>
            <w:tcW w:w="190" w:type="dxa"/>
            <w:tcBorders/>
            <w:shd w:fill="FFFFFF" w:val="clear"/>
            <w:vAlign w:val="center"/>
          </w:tcPr>
          <w:p>
            <w:pPr>
              <w:pStyle w:val="TableContents"/>
              <w:bidi w:val="0"/>
              <w:spacing w:before="0" w:after="283"/>
              <w:ind w:left="0" w:right="0" w:hanging="0"/>
              <w:jc w:val="left"/>
              <w:rPr/>
            </w:pPr>
            <w:r>
              <w:rPr/>
              <w:t> </w:t>
            </w:r>
          </w:p>
        </w:tc>
        <w:tc>
          <w:tcPr>
            <w:tcW w:w="194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2024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313"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2025</w:t>
            </w:r>
          </w:p>
        </w:tc>
        <w:tc>
          <w:tcPr>
            <w:tcW w:w="129" w:type="dxa"/>
            <w:tcBorders/>
            <w:shd w:fill="FFFFFF" w:val="clear"/>
            <w:vAlign w:val="center"/>
          </w:tcPr>
          <w:p>
            <w:pPr>
              <w:pStyle w:val="TableContents"/>
              <w:bidi w:val="0"/>
              <w:spacing w:before="0" w:after="283"/>
              <w:jc w:val="left"/>
              <w:rPr/>
            </w:pPr>
            <w:r>
              <w:rPr/>
              <w:t> </w:t>
            </w:r>
          </w:p>
        </w:tc>
        <w:tc>
          <w:tcPr>
            <w:tcW w:w="129" w:type="dxa"/>
            <w:tcBorders/>
            <w:shd w:fill="FFFFFF" w:val="clear"/>
            <w:vAlign w:val="center"/>
          </w:tcPr>
          <w:p>
            <w:pPr>
              <w:pStyle w:val="TableContents"/>
              <w:bidi w:val="0"/>
              <w:spacing w:before="0" w:after="283"/>
              <w:ind w:left="0" w:right="0" w:hanging="0"/>
              <w:jc w:val="left"/>
              <w:rPr/>
            </w:pPr>
            <w:r>
              <w:rPr/>
              <w:t> </w:t>
            </w:r>
          </w:p>
        </w:tc>
        <w:tc>
          <w:tcPr>
            <w:tcW w:w="1313"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2024</w:t>
            </w:r>
          </w:p>
        </w:tc>
        <w:tc>
          <w:tcPr>
            <w:tcW w:w="60" w:type="dxa"/>
            <w:tcBorders/>
            <w:shd w:fill="FFFFFF" w:val="clear"/>
            <w:vAlign w:val="center"/>
          </w:tcPr>
          <w:p>
            <w:pPr>
              <w:pStyle w:val="TableContents"/>
              <w:bidi w:val="0"/>
              <w:spacing w:before="0" w:after="283"/>
              <w:jc w:val="left"/>
              <w:rPr/>
            </w:pPr>
            <w:r>
              <w:rPr/>
              <w:t> </w:t>
            </w:r>
          </w:p>
        </w:tc>
      </w:tr>
      <w:tr>
        <w:trPr/>
        <w:tc>
          <w:tcPr>
            <w:tcW w:w="270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971" w:type="dxa"/>
            <w:gridSpan w:val="6"/>
            <w:tcBorders/>
            <w:shd w:fill="FFFFFF" w:val="cle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(in thousands)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69" w:type="dxa"/>
            <w:tcBorders/>
            <w:shd w:fill="FFFFFF" w:val="clear"/>
            <w:vAlign w:val="center"/>
          </w:tcPr>
          <w:p>
            <w:pPr>
              <w:pStyle w:val="TableContents"/>
              <w:bidi w:val="0"/>
              <w:spacing w:before="0" w:after="283"/>
              <w:jc w:val="left"/>
              <w:rPr/>
            </w:pPr>
            <w:r>
              <w:rPr/>
              <w:t> </w:t>
            </w:r>
          </w:p>
        </w:tc>
        <w:tc>
          <w:tcPr>
            <w:tcW w:w="1044" w:type="dxa"/>
            <w:tcBorders/>
            <w:shd w:fill="FFFFFF" w:val="clear"/>
            <w:vAlign w:val="center"/>
          </w:tcPr>
          <w:p>
            <w:pPr>
              <w:pStyle w:val="TableContents"/>
              <w:bidi w:val="0"/>
              <w:spacing w:before="0" w:after="283"/>
              <w:jc w:val="center"/>
              <w:rPr/>
            </w:pPr>
            <w:r>
              <w:rPr/>
              <w:t> </w:t>
            </w:r>
          </w:p>
        </w:tc>
        <w:tc>
          <w:tcPr>
            <w:tcW w:w="129" w:type="dxa"/>
            <w:tcBorders/>
            <w:shd w:fill="FFFFFF" w:val="clear"/>
            <w:vAlign w:val="center"/>
          </w:tcPr>
          <w:p>
            <w:pPr>
              <w:pStyle w:val="TableContents"/>
              <w:bidi w:val="0"/>
              <w:spacing w:before="0" w:after="283"/>
              <w:jc w:val="left"/>
              <w:rPr/>
            </w:pPr>
            <w:r>
              <w:rPr/>
              <w:t> </w:t>
            </w:r>
          </w:p>
        </w:tc>
        <w:tc>
          <w:tcPr>
            <w:tcW w:w="129" w:type="dxa"/>
            <w:tcBorders/>
            <w:shd w:fill="FFFFFF" w:val="clear"/>
            <w:vAlign w:val="center"/>
          </w:tcPr>
          <w:p>
            <w:pPr>
              <w:pStyle w:val="TableContents"/>
              <w:bidi w:val="0"/>
              <w:spacing w:before="0" w:after="283"/>
              <w:jc w:val="left"/>
              <w:rPr/>
            </w:pPr>
            <w:r>
              <w:rPr/>
              <w:t> </w:t>
            </w:r>
          </w:p>
        </w:tc>
        <w:tc>
          <w:tcPr>
            <w:tcW w:w="269" w:type="dxa"/>
            <w:tcBorders/>
            <w:shd w:fill="FFFFFF" w:val="clear"/>
            <w:vAlign w:val="center"/>
          </w:tcPr>
          <w:p>
            <w:pPr>
              <w:pStyle w:val="TableContents"/>
              <w:bidi w:val="0"/>
              <w:spacing w:before="0" w:after="283"/>
              <w:jc w:val="left"/>
              <w:rPr/>
            </w:pPr>
            <w:r>
              <w:rPr/>
              <w:t> </w:t>
            </w:r>
          </w:p>
        </w:tc>
        <w:tc>
          <w:tcPr>
            <w:tcW w:w="1044"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r>
      <w:tr>
        <w:trPr/>
        <w:tc>
          <w:tcPr>
            <w:tcW w:w="270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97" w:type="dxa"/>
            <w:tcBorders/>
            <w:shd w:fill="FFFFFF" w:val="clear"/>
            <w:vAlign w:val="center"/>
          </w:tcPr>
          <w:p>
            <w:pPr>
              <w:pStyle w:val="TableContents"/>
              <w:bidi w:val="0"/>
              <w:spacing w:before="0" w:after="283"/>
              <w:jc w:val="left"/>
              <w:rPr/>
            </w:pPr>
            <w:r>
              <w:rPr/>
              <w:t> </w:t>
            </w:r>
          </w:p>
        </w:tc>
        <w:tc>
          <w:tcPr>
            <w:tcW w:w="254" w:type="dxa"/>
            <w:tcBorders/>
            <w:shd w:fill="FFFFFF" w:val="clear"/>
            <w:vAlign w:val="center"/>
          </w:tcPr>
          <w:p>
            <w:pPr>
              <w:pStyle w:val="TableContents"/>
              <w:bidi w:val="0"/>
              <w:spacing w:before="0" w:after="283"/>
              <w:jc w:val="left"/>
              <w:rPr/>
            </w:pPr>
            <w:r>
              <w:rPr/>
              <w:t> </w:t>
            </w:r>
          </w:p>
        </w:tc>
        <w:tc>
          <w:tcPr>
            <w:tcW w:w="190" w:type="dxa"/>
            <w:tcBorders/>
            <w:shd w:fill="FFFFFF" w:val="clear"/>
            <w:vAlign w:val="center"/>
          </w:tcPr>
          <w:p>
            <w:pPr>
              <w:pStyle w:val="TableContents"/>
              <w:bidi w:val="0"/>
              <w:spacing w:before="0" w:after="283"/>
              <w:jc w:val="left"/>
              <w:rPr/>
            </w:pPr>
            <w:r>
              <w:rPr/>
              <w:t> </w:t>
            </w:r>
          </w:p>
        </w:tc>
        <w:tc>
          <w:tcPr>
            <w:tcW w:w="190" w:type="dxa"/>
            <w:tcBorders/>
            <w:shd w:fill="FFFFFF" w:val="clear"/>
            <w:vAlign w:val="center"/>
          </w:tcPr>
          <w:p>
            <w:pPr>
              <w:pStyle w:val="TableContents"/>
              <w:bidi w:val="0"/>
              <w:spacing w:before="0" w:after="283"/>
              <w:jc w:val="left"/>
              <w:rPr/>
            </w:pPr>
            <w:r>
              <w:rPr/>
              <w:t> </w:t>
            </w:r>
          </w:p>
        </w:tc>
        <w:tc>
          <w:tcPr>
            <w:tcW w:w="397" w:type="dxa"/>
            <w:tcBorders/>
            <w:shd w:fill="FFFFFF" w:val="clear"/>
            <w:vAlign w:val="center"/>
          </w:tcPr>
          <w:p>
            <w:pPr>
              <w:pStyle w:val="TableContents"/>
              <w:bidi w:val="0"/>
              <w:spacing w:before="0" w:after="283"/>
              <w:jc w:val="left"/>
              <w:rPr/>
            </w:pPr>
            <w:r>
              <w:rPr/>
              <w:t> </w:t>
            </w:r>
          </w:p>
        </w:tc>
        <w:tc>
          <w:tcPr>
            <w:tcW w:w="1543"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69" w:type="dxa"/>
            <w:tcBorders/>
            <w:shd w:fill="FFFFFF" w:val="clear"/>
            <w:vAlign w:val="center"/>
          </w:tcPr>
          <w:p>
            <w:pPr>
              <w:pStyle w:val="TableContents"/>
              <w:bidi w:val="0"/>
              <w:spacing w:before="0" w:after="283"/>
              <w:jc w:val="left"/>
              <w:rPr/>
            </w:pPr>
            <w:r>
              <w:rPr/>
              <w:t> </w:t>
            </w:r>
          </w:p>
        </w:tc>
        <w:tc>
          <w:tcPr>
            <w:tcW w:w="1044" w:type="dxa"/>
            <w:tcBorders/>
            <w:shd w:fill="FFFFFF" w:val="clear"/>
            <w:vAlign w:val="center"/>
          </w:tcPr>
          <w:p>
            <w:pPr>
              <w:pStyle w:val="TableContents"/>
              <w:bidi w:val="0"/>
              <w:spacing w:before="0" w:after="283"/>
              <w:jc w:val="left"/>
              <w:rPr/>
            </w:pPr>
            <w:r>
              <w:rPr/>
              <w:t> </w:t>
            </w:r>
          </w:p>
        </w:tc>
        <w:tc>
          <w:tcPr>
            <w:tcW w:w="129" w:type="dxa"/>
            <w:tcBorders/>
            <w:shd w:fill="FFFFFF" w:val="clear"/>
            <w:vAlign w:val="center"/>
          </w:tcPr>
          <w:p>
            <w:pPr>
              <w:pStyle w:val="TableContents"/>
              <w:bidi w:val="0"/>
              <w:spacing w:before="0" w:after="283"/>
              <w:jc w:val="left"/>
              <w:rPr/>
            </w:pPr>
            <w:r>
              <w:rPr/>
              <w:t> </w:t>
            </w:r>
          </w:p>
        </w:tc>
        <w:tc>
          <w:tcPr>
            <w:tcW w:w="129" w:type="dxa"/>
            <w:tcBorders/>
            <w:shd w:fill="FFFFFF" w:val="clear"/>
            <w:vAlign w:val="center"/>
          </w:tcPr>
          <w:p>
            <w:pPr>
              <w:pStyle w:val="TableContents"/>
              <w:bidi w:val="0"/>
              <w:spacing w:before="0" w:after="283"/>
              <w:jc w:val="left"/>
              <w:rPr/>
            </w:pPr>
            <w:r>
              <w:rPr/>
              <w:t> </w:t>
            </w:r>
          </w:p>
        </w:tc>
        <w:tc>
          <w:tcPr>
            <w:tcW w:w="269" w:type="dxa"/>
            <w:tcBorders/>
            <w:shd w:fill="FFFFFF" w:val="clear"/>
            <w:vAlign w:val="center"/>
          </w:tcPr>
          <w:p>
            <w:pPr>
              <w:pStyle w:val="TableContents"/>
              <w:bidi w:val="0"/>
              <w:spacing w:before="0" w:after="283"/>
              <w:jc w:val="left"/>
              <w:rPr/>
            </w:pPr>
            <w:r>
              <w:rPr/>
              <w:t> </w:t>
            </w:r>
          </w:p>
        </w:tc>
        <w:tc>
          <w:tcPr>
            <w:tcW w:w="1044"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r>
      <w:tr>
        <w:trPr/>
        <w:tc>
          <w:tcPr>
            <w:tcW w:w="270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Shares repurchased</w:t>
            </w:r>
          </w:p>
        </w:tc>
        <w:tc>
          <w:tcPr>
            <w:tcW w:w="60" w:type="dxa"/>
            <w:tcBorders/>
            <w:shd w:fill="CCEEFF" w:val="clear"/>
            <w:vAlign w:val="center"/>
          </w:tcPr>
          <w:p>
            <w:pPr>
              <w:pStyle w:val="TableContents"/>
              <w:bidi w:val="0"/>
              <w:spacing w:before="0" w:after="283"/>
              <w:jc w:val="left"/>
              <w:rPr/>
            </w:pPr>
            <w:r>
              <w:rPr/>
              <w:t> </w:t>
            </w:r>
          </w:p>
        </w:tc>
        <w:tc>
          <w:tcPr>
            <w:tcW w:w="397" w:type="dxa"/>
            <w:tcBorders/>
            <w:shd w:fill="CCEEFF" w:val="clear"/>
            <w:vAlign w:val="center"/>
          </w:tcPr>
          <w:p>
            <w:pPr>
              <w:pStyle w:val="TableContents"/>
              <w:bidi w:val="0"/>
              <w:spacing w:before="0" w:after="283"/>
              <w:ind w:left="0" w:right="0" w:hanging="0"/>
              <w:jc w:val="left"/>
              <w:rPr/>
            </w:pPr>
            <w:r>
              <w:rPr/>
              <w:t> </w:t>
            </w:r>
          </w:p>
        </w:tc>
        <w:tc>
          <w:tcPr>
            <w:tcW w:w="254"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190" w:type="dxa"/>
            <w:tcBorders/>
            <w:shd w:fill="CCEEFF" w:val="clear"/>
            <w:vAlign w:val="center"/>
          </w:tcPr>
          <w:p>
            <w:pPr>
              <w:pStyle w:val="TableContents"/>
              <w:bidi w:val="0"/>
              <w:spacing w:before="0" w:after="283"/>
              <w:jc w:val="left"/>
              <w:rPr/>
            </w:pPr>
            <w:r>
              <w:rPr/>
              <w:t> </w:t>
            </w:r>
          </w:p>
        </w:tc>
        <w:tc>
          <w:tcPr>
            <w:tcW w:w="190" w:type="dxa"/>
            <w:tcBorders/>
            <w:shd w:fill="CCEEFF" w:val="clear"/>
            <w:vAlign w:val="center"/>
          </w:tcPr>
          <w:p>
            <w:pPr>
              <w:pStyle w:val="TableContents"/>
              <w:bidi w:val="0"/>
              <w:spacing w:before="0" w:after="283"/>
              <w:jc w:val="left"/>
              <w:rPr/>
            </w:pPr>
            <w:r>
              <w:rPr/>
              <w:t> </w:t>
            </w:r>
          </w:p>
        </w:tc>
        <w:tc>
          <w:tcPr>
            <w:tcW w:w="397" w:type="dxa"/>
            <w:tcBorders/>
            <w:shd w:fill="CCEEFF" w:val="clear"/>
            <w:vAlign w:val="center"/>
          </w:tcPr>
          <w:p>
            <w:pPr>
              <w:pStyle w:val="TableContents"/>
              <w:bidi w:val="0"/>
              <w:spacing w:before="0" w:after="283"/>
              <w:ind w:left="0" w:right="0" w:hanging="0"/>
              <w:jc w:val="left"/>
              <w:rPr/>
            </w:pPr>
            <w:r>
              <w:rPr/>
              <w:t> </w:t>
            </w:r>
          </w:p>
        </w:tc>
        <w:tc>
          <w:tcPr>
            <w:tcW w:w="1543"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69" w:type="dxa"/>
            <w:tcBorders/>
            <w:shd w:fill="CCEEFF" w:val="clear"/>
            <w:vAlign w:val="center"/>
          </w:tcPr>
          <w:p>
            <w:pPr>
              <w:pStyle w:val="TableContents"/>
              <w:bidi w:val="0"/>
              <w:spacing w:before="0" w:after="283"/>
              <w:ind w:left="0" w:right="0" w:hanging="0"/>
              <w:jc w:val="left"/>
              <w:rPr/>
            </w:pPr>
            <w:r>
              <w:rPr/>
              <w:t> </w:t>
            </w:r>
          </w:p>
        </w:tc>
        <w:tc>
          <w:tcPr>
            <w:tcW w:w="1044"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197</w:t>
            </w:r>
          </w:p>
        </w:tc>
        <w:tc>
          <w:tcPr>
            <w:tcW w:w="129" w:type="dxa"/>
            <w:tcBorders/>
            <w:shd w:fill="CCEEFF" w:val="clear"/>
            <w:vAlign w:val="center"/>
          </w:tcPr>
          <w:p>
            <w:pPr>
              <w:pStyle w:val="TableContents"/>
              <w:bidi w:val="0"/>
              <w:spacing w:before="0" w:after="283"/>
              <w:jc w:val="left"/>
              <w:rPr/>
            </w:pPr>
            <w:r>
              <w:rPr/>
              <w:t> </w:t>
            </w:r>
          </w:p>
        </w:tc>
        <w:tc>
          <w:tcPr>
            <w:tcW w:w="129" w:type="dxa"/>
            <w:tcBorders/>
            <w:shd w:fill="CCEEFF" w:val="clear"/>
            <w:vAlign w:val="center"/>
          </w:tcPr>
          <w:p>
            <w:pPr>
              <w:pStyle w:val="TableContents"/>
              <w:bidi w:val="0"/>
              <w:spacing w:before="0" w:after="283"/>
              <w:jc w:val="left"/>
              <w:rPr/>
            </w:pPr>
            <w:r>
              <w:rPr/>
              <w:t> </w:t>
            </w:r>
          </w:p>
        </w:tc>
        <w:tc>
          <w:tcPr>
            <w:tcW w:w="269" w:type="dxa"/>
            <w:tcBorders/>
            <w:shd w:fill="CCEEFF" w:val="clear"/>
            <w:vAlign w:val="center"/>
          </w:tcPr>
          <w:p>
            <w:pPr>
              <w:pStyle w:val="TableContents"/>
              <w:bidi w:val="0"/>
              <w:spacing w:before="0" w:after="283"/>
              <w:ind w:left="0" w:right="0" w:hanging="0"/>
              <w:jc w:val="left"/>
              <w:rPr/>
            </w:pPr>
            <w:r>
              <w:rPr/>
              <w:t> </w:t>
            </w:r>
          </w:p>
        </w:tc>
        <w:tc>
          <w:tcPr>
            <w:tcW w:w="1044"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483</w:t>
            </w:r>
          </w:p>
        </w:tc>
        <w:tc>
          <w:tcPr>
            <w:tcW w:w="60" w:type="dxa"/>
            <w:tcBorders/>
            <w:shd w:fill="CCEEFF" w:val="clear"/>
            <w:vAlign w:val="center"/>
          </w:tcPr>
          <w:p>
            <w:pPr>
              <w:pStyle w:val="TableContents"/>
              <w:bidi w:val="0"/>
              <w:spacing w:before="0" w:after="283"/>
              <w:jc w:val="left"/>
              <w:rPr/>
            </w:pPr>
            <w:r>
              <w:rPr/>
              <w:t> </w:t>
            </w:r>
          </w:p>
        </w:tc>
      </w:tr>
      <w:tr>
        <w:trPr/>
        <w:tc>
          <w:tcPr>
            <w:tcW w:w="270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Weighted average price per share</w:t>
            </w:r>
          </w:p>
        </w:tc>
        <w:tc>
          <w:tcPr>
            <w:tcW w:w="60" w:type="dxa"/>
            <w:tcBorders/>
            <w:shd w:fill="FFFFFF" w:val="clear"/>
            <w:vAlign w:val="center"/>
          </w:tcPr>
          <w:p>
            <w:pPr>
              <w:pStyle w:val="TableContents"/>
              <w:bidi w:val="0"/>
              <w:spacing w:before="0" w:after="283"/>
              <w:ind w:left="0" w:right="0" w:hanging="0"/>
              <w:jc w:val="left"/>
              <w:rPr/>
            </w:pPr>
            <w:r>
              <w:rPr/>
              <w:t> </w:t>
            </w:r>
          </w:p>
        </w:tc>
        <w:tc>
          <w:tcPr>
            <w:tcW w:w="397"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254"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190" w:type="dxa"/>
            <w:tcBorders/>
            <w:shd w:fill="FFFFFF" w:val="clear"/>
            <w:vAlign w:val="center"/>
          </w:tcPr>
          <w:p>
            <w:pPr>
              <w:pStyle w:val="TableContents"/>
              <w:bidi w:val="0"/>
              <w:spacing w:before="0" w:after="283"/>
              <w:jc w:val="left"/>
              <w:rPr/>
            </w:pPr>
            <w:r>
              <w:rPr/>
              <w:t> </w:t>
            </w:r>
          </w:p>
        </w:tc>
        <w:tc>
          <w:tcPr>
            <w:tcW w:w="190" w:type="dxa"/>
            <w:tcBorders/>
            <w:shd w:fill="FFFFFF" w:val="clear"/>
            <w:vAlign w:val="center"/>
          </w:tcPr>
          <w:p>
            <w:pPr>
              <w:pStyle w:val="TableContents"/>
              <w:bidi w:val="0"/>
              <w:spacing w:before="0" w:after="283"/>
              <w:ind w:left="0" w:right="0" w:hanging="0"/>
              <w:jc w:val="left"/>
              <w:rPr/>
            </w:pPr>
            <w:r>
              <w:rPr/>
              <w:t> </w:t>
            </w:r>
          </w:p>
        </w:tc>
        <w:tc>
          <w:tcPr>
            <w:tcW w:w="397"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543"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1.050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69"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44"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1.610</w:t>
            </w:r>
          </w:p>
        </w:tc>
        <w:tc>
          <w:tcPr>
            <w:tcW w:w="129" w:type="dxa"/>
            <w:tcBorders/>
            <w:shd w:fill="FFFFFF" w:val="clear"/>
            <w:vAlign w:val="center"/>
          </w:tcPr>
          <w:p>
            <w:pPr>
              <w:pStyle w:val="TableContents"/>
              <w:bidi w:val="0"/>
              <w:spacing w:before="0" w:after="283"/>
              <w:jc w:val="left"/>
              <w:rPr/>
            </w:pPr>
            <w:r>
              <w:rPr/>
              <w:t> </w:t>
            </w:r>
          </w:p>
        </w:tc>
        <w:tc>
          <w:tcPr>
            <w:tcW w:w="129" w:type="dxa"/>
            <w:tcBorders/>
            <w:shd w:fill="FFFFFF" w:val="clear"/>
            <w:vAlign w:val="center"/>
          </w:tcPr>
          <w:p>
            <w:pPr>
              <w:pStyle w:val="TableContents"/>
              <w:bidi w:val="0"/>
              <w:spacing w:before="0" w:after="283"/>
              <w:ind w:left="0" w:right="0" w:hanging="0"/>
              <w:jc w:val="left"/>
              <w:rPr/>
            </w:pPr>
            <w:r>
              <w:rPr/>
              <w:t> </w:t>
            </w:r>
          </w:p>
        </w:tc>
        <w:tc>
          <w:tcPr>
            <w:tcW w:w="269"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44"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1.090</w:t>
            </w:r>
          </w:p>
        </w:tc>
        <w:tc>
          <w:tcPr>
            <w:tcW w:w="60" w:type="dxa"/>
            <w:tcBorders/>
            <w:shd w:fill="FFFFFF" w:val="clear"/>
            <w:vAlign w:val="center"/>
          </w:tcPr>
          <w:p>
            <w:pPr>
              <w:pStyle w:val="TableContents"/>
              <w:bidi w:val="0"/>
              <w:spacing w:before="0" w:after="283"/>
              <w:jc w:val="left"/>
              <w:rPr/>
            </w:pPr>
            <w:r>
              <w:rPr/>
              <w:t> </w:t>
            </w:r>
          </w:p>
        </w:tc>
      </w:tr>
      <w:tr>
        <w:trPr/>
        <w:tc>
          <w:tcPr>
            <w:tcW w:w="2705"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Value of shares repurchased</w:t>
            </w:r>
          </w:p>
        </w:tc>
        <w:tc>
          <w:tcPr>
            <w:tcW w:w="60" w:type="dxa"/>
            <w:tcBorders/>
            <w:shd w:fill="CCEEFF" w:val="clear"/>
            <w:vAlign w:val="center"/>
          </w:tcPr>
          <w:p>
            <w:pPr>
              <w:pStyle w:val="TableContents"/>
              <w:bidi w:val="0"/>
              <w:spacing w:before="0" w:after="283"/>
              <w:ind w:left="0" w:right="0" w:hanging="0"/>
              <w:jc w:val="left"/>
              <w:rPr/>
            </w:pPr>
            <w:r>
              <w:rPr/>
              <w:t> </w:t>
            </w:r>
          </w:p>
        </w:tc>
        <w:tc>
          <w:tcPr>
            <w:tcW w:w="397"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254"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190" w:type="dxa"/>
            <w:tcBorders/>
            <w:shd w:fill="CCEEFF" w:val="clear"/>
            <w:vAlign w:val="center"/>
          </w:tcPr>
          <w:p>
            <w:pPr>
              <w:pStyle w:val="TableContents"/>
              <w:bidi w:val="0"/>
              <w:spacing w:before="0" w:after="283"/>
              <w:jc w:val="left"/>
              <w:rPr/>
            </w:pPr>
            <w:r>
              <w:rPr/>
              <w:t> </w:t>
            </w:r>
          </w:p>
        </w:tc>
        <w:tc>
          <w:tcPr>
            <w:tcW w:w="190" w:type="dxa"/>
            <w:tcBorders/>
            <w:shd w:fill="CCEEFF" w:val="clear"/>
            <w:vAlign w:val="center"/>
          </w:tcPr>
          <w:p>
            <w:pPr>
              <w:pStyle w:val="TableContents"/>
              <w:bidi w:val="0"/>
              <w:spacing w:before="0" w:after="283"/>
              <w:ind w:left="0" w:right="0" w:hanging="0"/>
              <w:jc w:val="left"/>
              <w:rPr/>
            </w:pPr>
            <w:r>
              <w:rPr/>
              <w:t> </w:t>
            </w:r>
          </w:p>
        </w:tc>
        <w:tc>
          <w:tcPr>
            <w:tcW w:w="397"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543"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69"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44"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316</w:t>
            </w:r>
          </w:p>
        </w:tc>
        <w:tc>
          <w:tcPr>
            <w:tcW w:w="129" w:type="dxa"/>
            <w:tcBorders/>
            <w:shd w:fill="CCEEFF" w:val="clear"/>
            <w:vAlign w:val="center"/>
          </w:tcPr>
          <w:p>
            <w:pPr>
              <w:pStyle w:val="TableContents"/>
              <w:bidi w:val="0"/>
              <w:spacing w:before="0" w:after="283"/>
              <w:jc w:val="left"/>
              <w:rPr/>
            </w:pPr>
            <w:r>
              <w:rPr/>
              <w:t> </w:t>
            </w:r>
          </w:p>
        </w:tc>
        <w:tc>
          <w:tcPr>
            <w:tcW w:w="129" w:type="dxa"/>
            <w:tcBorders/>
            <w:shd w:fill="CCEEFF" w:val="clear"/>
            <w:vAlign w:val="center"/>
          </w:tcPr>
          <w:p>
            <w:pPr>
              <w:pStyle w:val="TableContents"/>
              <w:bidi w:val="0"/>
              <w:spacing w:before="0" w:after="283"/>
              <w:ind w:left="0" w:right="0" w:hanging="0"/>
              <w:jc w:val="left"/>
              <w:rPr/>
            </w:pPr>
            <w:r>
              <w:rPr/>
              <w:t> </w:t>
            </w:r>
          </w:p>
        </w:tc>
        <w:tc>
          <w:tcPr>
            <w:tcW w:w="269"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44"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526</w:t>
            </w:r>
          </w:p>
        </w:tc>
        <w:tc>
          <w:tcPr>
            <w:tcW w:w="6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283"/>
        <w:jc w:val="left"/>
        <w:rPr/>
      </w:pPr>
      <w:r>
        <w:rPr/>
        <w:t xml:space="preserve">  </w:t>
      </w:r>
    </w:p>
    <w:p>
      <w:pPr>
        <w:pStyle w:val="TextBody"/>
        <w:bidi w:val="0"/>
        <w:spacing w:before="0" w:after="0"/>
        <w:ind w:left="0" w:right="0" w:hanging="0"/>
        <w:jc w:val="both"/>
        <w:rPr/>
      </w:pPr>
      <w:r>
        <w:rPr>
          <w:rStyle w:val="Emphasis"/>
          <w:rFonts w:ascii="Times New Roman" w:hAnsi="Times New Roman"/>
          <w:b/>
          <w:caps w:val="false"/>
          <w:smallCaps w:val="false"/>
          <w:sz w:val="20"/>
        </w:rPr>
        <w:t>10.</w:t>
      </w:r>
      <w:r>
        <w:rPr>
          <w:rFonts w:ascii="Times New Roman" w:hAnsi="Times New Roman"/>
          <w:b/>
          <w:caps w:val="false"/>
          <w:smallCaps w:val="false"/>
          <w:sz w:val="20"/>
        </w:rPr>
        <w:t xml:space="preserve"> ASSET RETIREMENT OBLIGATIONS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Company has asset retirement obligations (“ARO”) associated with the future plugging and abandonment of proved properties. Initially, the fair value of a liability for an ARO is recorded in the period in which the ARO is incurred with a corresponding increase in the carrying amount of the related asset. The liability is accreted to its present value each period and the capitalized cost is depleted over the life of the related asset. If the liability is settled for an amount other than the recorded amount, an adjustment to the full cost pool is recognized. The Company had no assets that are restricted for the purpose of settling ARO.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In the fair value calculation for the ARO there are a number of assumptions and judgments, including the ultimate retirement cost, inflation factors, credit-adjusted risk-free discount rates, timing of retirement and changes in legal, regulatory, environmental, and political environments. To the extent future revisions to assumptions and judgments impact the present value of the existing ARO, a corresponding adjustment is made to the oil and natural gas property balance.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caps w:val="false"/>
          <w:smallCaps w:val="false"/>
          <w:sz w:val="20"/>
        </w:rPr>
        <w:t xml:space="preserve">The following is a reconciliation of the changes in the Company’s liabilities for asset retirement obligations as of </w:t>
      </w:r>
      <w:r>
        <w:rPr>
          <w:rStyle w:val="Emphasis"/>
          <w:rFonts w:ascii="Times New Roman" w:hAnsi="Times New Roman"/>
          <w:caps w:val="false"/>
          <w:smallCaps w:val="false"/>
          <w:sz w:val="20"/>
        </w:rPr>
        <w:t>September 30, 2025</w:t>
      </w:r>
      <w:r>
        <w:rPr>
          <w:rFonts w:ascii="Times New Roman" w:hAnsi="Times New Roman"/>
          <w:caps w:val="false"/>
          <w:smallCaps w:val="false"/>
          <w:sz w:val="20"/>
        </w:rPr>
        <w:t xml:space="preserve"> and </w:t>
      </w:r>
      <w:r>
        <w:rPr>
          <w:rStyle w:val="Emphasis"/>
          <w:rFonts w:ascii="Times New Roman" w:hAnsi="Times New Roman"/>
          <w:caps w:val="false"/>
          <w:smallCaps w:val="false"/>
          <w:sz w:val="20"/>
        </w:rPr>
        <w:t>December 31, 2024</w:t>
      </w:r>
      <w:r>
        <w:rPr>
          <w:rFonts w:ascii="Times New Roman" w:hAnsi="Times New Roman"/>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tbl>
      <w:tblPr>
        <w:tblW w:w="6878" w:type="dxa"/>
        <w:jc w:val="left"/>
        <w:tblInd w:w="0" w:type="dxa"/>
        <w:tblLayout w:type="fixed"/>
        <w:tblCellMar>
          <w:top w:w="0" w:type="dxa"/>
          <w:left w:w="0" w:type="dxa"/>
          <w:bottom w:w="0" w:type="dxa"/>
          <w:right w:w="0" w:type="dxa"/>
        </w:tblCellMar>
      </w:tblPr>
      <w:tblGrid>
        <w:gridCol w:w="3335"/>
        <w:gridCol w:w="60"/>
        <w:gridCol w:w="288"/>
        <w:gridCol w:w="1366"/>
        <w:gridCol w:w="80"/>
        <w:gridCol w:w="60"/>
        <w:gridCol w:w="280"/>
        <w:gridCol w:w="1329"/>
        <w:gridCol w:w="80"/>
      </w:tblGrid>
      <w:tr>
        <w:trPr/>
        <w:tc>
          <w:tcPr>
            <w:tcW w:w="333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654"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September 30, 2025</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609"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December 31, 2024</w:t>
            </w:r>
          </w:p>
        </w:tc>
        <w:tc>
          <w:tcPr>
            <w:tcW w:w="80" w:type="dxa"/>
            <w:tcBorders/>
            <w:shd w:fill="FFFFFF" w:val="clear"/>
            <w:vAlign w:val="center"/>
          </w:tcPr>
          <w:p>
            <w:pPr>
              <w:pStyle w:val="TableContents"/>
              <w:bidi w:val="0"/>
              <w:spacing w:before="0" w:after="283"/>
              <w:jc w:val="left"/>
              <w:rPr/>
            </w:pPr>
            <w:r>
              <w:rPr/>
              <w:t> </w:t>
            </w:r>
          </w:p>
        </w:tc>
      </w:tr>
      <w:tr>
        <w:trPr/>
        <w:tc>
          <w:tcPr>
            <w:tcW w:w="333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3403" w:type="dxa"/>
            <w:gridSpan w:val="6"/>
            <w:tcBorders/>
            <w:shd w:fill="FFFFFF" w:val="cle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(in thousands)</w:t>
            </w:r>
          </w:p>
        </w:tc>
        <w:tc>
          <w:tcPr>
            <w:tcW w:w="80" w:type="dxa"/>
            <w:tcBorders/>
            <w:shd w:fill="FFFFFF" w:val="clear"/>
            <w:vAlign w:val="center"/>
          </w:tcPr>
          <w:p>
            <w:pPr>
              <w:pStyle w:val="TableContents"/>
              <w:bidi w:val="0"/>
              <w:spacing w:before="0" w:after="283"/>
              <w:jc w:val="left"/>
              <w:rPr/>
            </w:pPr>
            <w:r>
              <w:rPr/>
              <w:t> </w:t>
            </w:r>
          </w:p>
        </w:tc>
      </w:tr>
      <w:tr>
        <w:trPr/>
        <w:tc>
          <w:tcPr>
            <w:tcW w:w="3335"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Balance, beginning of year</w:t>
            </w:r>
          </w:p>
        </w:tc>
        <w:tc>
          <w:tcPr>
            <w:tcW w:w="60" w:type="dxa"/>
            <w:tcBorders/>
            <w:shd w:fill="CCEEFF" w:val="clear"/>
            <w:vAlign w:val="center"/>
          </w:tcPr>
          <w:p>
            <w:pPr>
              <w:pStyle w:val="TableContents"/>
              <w:bidi w:val="0"/>
              <w:spacing w:before="0" w:after="283"/>
              <w:ind w:left="0" w:right="0" w:hanging="0"/>
              <w:jc w:val="left"/>
              <w:rPr/>
            </w:pPr>
            <w:r>
              <w:rPr/>
              <w:t> </w:t>
            </w:r>
          </w:p>
        </w:tc>
        <w:tc>
          <w:tcPr>
            <w:tcW w:w="288"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1366"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14,083</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80"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1329"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18,490</w:t>
            </w:r>
          </w:p>
        </w:tc>
        <w:tc>
          <w:tcPr>
            <w:tcW w:w="80" w:type="dxa"/>
            <w:tcBorders/>
            <w:shd w:fill="CCEEFF" w:val="clear"/>
            <w:vAlign w:val="center"/>
          </w:tcPr>
          <w:p>
            <w:pPr>
              <w:pStyle w:val="TableContents"/>
              <w:bidi w:val="0"/>
              <w:spacing w:before="0" w:after="283"/>
              <w:jc w:val="left"/>
              <w:rPr/>
            </w:pPr>
            <w:r>
              <w:rPr/>
              <w:t> </w:t>
            </w:r>
          </w:p>
        </w:tc>
      </w:tr>
      <w:tr>
        <w:trPr/>
        <w:tc>
          <w:tcPr>
            <w:tcW w:w="3335"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Acquired or incurred</w:t>
            </w:r>
          </w:p>
        </w:tc>
        <w:tc>
          <w:tcPr>
            <w:tcW w:w="60" w:type="dxa"/>
            <w:tcBorders/>
            <w:shd w:fill="FFFFFF" w:val="clear"/>
            <w:vAlign w:val="center"/>
          </w:tcPr>
          <w:p>
            <w:pPr>
              <w:pStyle w:val="TableContents"/>
              <w:bidi w:val="0"/>
              <w:spacing w:before="0" w:after="283"/>
              <w:jc w:val="left"/>
              <w:rPr/>
            </w:pPr>
            <w:r>
              <w:rPr/>
              <w:t> </w:t>
            </w:r>
          </w:p>
        </w:tc>
        <w:tc>
          <w:tcPr>
            <w:tcW w:w="288" w:type="dxa"/>
            <w:tcBorders/>
            <w:shd w:fill="FFFFFF" w:val="clear"/>
            <w:vAlign w:val="center"/>
          </w:tcPr>
          <w:p>
            <w:pPr>
              <w:pStyle w:val="TableContents"/>
              <w:bidi w:val="0"/>
              <w:spacing w:before="0" w:after="283"/>
              <w:ind w:left="0" w:right="0" w:hanging="0"/>
              <w:jc w:val="left"/>
              <w:rPr/>
            </w:pPr>
            <w:r>
              <w:rPr/>
              <w:t> </w:t>
            </w:r>
          </w:p>
        </w:tc>
        <w:tc>
          <w:tcPr>
            <w:tcW w:w="1366"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26</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80" w:type="dxa"/>
            <w:tcBorders/>
            <w:shd w:fill="FFFFFF" w:val="clear"/>
            <w:vAlign w:val="center"/>
          </w:tcPr>
          <w:p>
            <w:pPr>
              <w:pStyle w:val="TableContents"/>
              <w:bidi w:val="0"/>
              <w:spacing w:before="0" w:after="283"/>
              <w:ind w:left="0" w:right="0" w:hanging="0"/>
              <w:jc w:val="left"/>
              <w:rPr/>
            </w:pPr>
            <w:r>
              <w:rPr/>
              <w:t> </w:t>
            </w:r>
          </w:p>
        </w:tc>
        <w:tc>
          <w:tcPr>
            <w:tcW w:w="1329"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w:t>
            </w:r>
          </w:p>
        </w:tc>
        <w:tc>
          <w:tcPr>
            <w:tcW w:w="80" w:type="dxa"/>
            <w:tcBorders/>
            <w:shd w:fill="FFFFFF" w:val="clear"/>
            <w:vAlign w:val="center"/>
          </w:tcPr>
          <w:p>
            <w:pPr>
              <w:pStyle w:val="TableContents"/>
              <w:bidi w:val="0"/>
              <w:spacing w:before="0" w:after="283"/>
              <w:jc w:val="left"/>
              <w:rPr/>
            </w:pPr>
            <w:r>
              <w:rPr/>
              <w:t> </w:t>
            </w:r>
          </w:p>
        </w:tc>
      </w:tr>
      <w:tr>
        <w:trPr/>
        <w:tc>
          <w:tcPr>
            <w:tcW w:w="3335"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Cost and life revisions</w:t>
            </w:r>
          </w:p>
        </w:tc>
        <w:tc>
          <w:tcPr>
            <w:tcW w:w="60" w:type="dxa"/>
            <w:tcBorders/>
            <w:shd w:fill="CCEEFF" w:val="clear"/>
            <w:vAlign w:val="center"/>
          </w:tcPr>
          <w:p>
            <w:pPr>
              <w:pStyle w:val="TableContents"/>
              <w:bidi w:val="0"/>
              <w:spacing w:before="0" w:after="283"/>
              <w:jc w:val="left"/>
              <w:rPr/>
            </w:pPr>
            <w:r>
              <w:rPr/>
              <w:t> </w:t>
            </w:r>
          </w:p>
        </w:tc>
        <w:tc>
          <w:tcPr>
            <w:tcW w:w="288" w:type="dxa"/>
            <w:tcBorders/>
            <w:shd w:fill="CCEEFF" w:val="clear"/>
            <w:vAlign w:val="center"/>
          </w:tcPr>
          <w:p>
            <w:pPr>
              <w:pStyle w:val="TableContents"/>
              <w:bidi w:val="0"/>
              <w:spacing w:before="0" w:after="283"/>
              <w:ind w:left="0" w:right="0" w:hanging="0"/>
              <w:jc w:val="left"/>
              <w:rPr/>
            </w:pPr>
            <w:r>
              <w:rPr/>
              <w:t> </w:t>
            </w:r>
          </w:p>
        </w:tc>
        <w:tc>
          <w:tcPr>
            <w:tcW w:w="1366"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(1,298</w:t>
            </w:r>
          </w:p>
        </w:tc>
        <w:tc>
          <w:tcPr>
            <w:tcW w:w="80"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bidi w:val="0"/>
              <w:spacing w:before="0" w:after="283"/>
              <w:jc w:val="left"/>
              <w:rPr/>
            </w:pPr>
            <w:r>
              <w:rPr/>
              <w:t> </w:t>
            </w:r>
          </w:p>
        </w:tc>
        <w:tc>
          <w:tcPr>
            <w:tcW w:w="280" w:type="dxa"/>
            <w:tcBorders/>
            <w:shd w:fill="CCEEFF" w:val="clear"/>
            <w:vAlign w:val="center"/>
          </w:tcPr>
          <w:p>
            <w:pPr>
              <w:pStyle w:val="TableContents"/>
              <w:bidi w:val="0"/>
              <w:spacing w:before="0" w:after="283"/>
              <w:ind w:left="0" w:right="0" w:hanging="0"/>
              <w:jc w:val="left"/>
              <w:rPr/>
            </w:pPr>
            <w:r>
              <w:rPr/>
              <w:t> </w:t>
            </w:r>
          </w:p>
        </w:tc>
        <w:tc>
          <w:tcPr>
            <w:tcW w:w="1329"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(150</w:t>
            </w:r>
          </w:p>
        </w:tc>
        <w:tc>
          <w:tcPr>
            <w:tcW w:w="80"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r>
        <w:trPr/>
        <w:tc>
          <w:tcPr>
            <w:tcW w:w="3335"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Plugged</w:t>
            </w:r>
          </w:p>
        </w:tc>
        <w:tc>
          <w:tcPr>
            <w:tcW w:w="60" w:type="dxa"/>
            <w:tcBorders/>
            <w:shd w:fill="FFFFFF" w:val="clear"/>
            <w:vAlign w:val="center"/>
          </w:tcPr>
          <w:p>
            <w:pPr>
              <w:pStyle w:val="TableContents"/>
              <w:bidi w:val="0"/>
              <w:spacing w:before="0" w:after="283"/>
              <w:jc w:val="left"/>
              <w:rPr/>
            </w:pPr>
            <w:r>
              <w:rPr/>
              <w:t> </w:t>
            </w:r>
          </w:p>
        </w:tc>
        <w:tc>
          <w:tcPr>
            <w:tcW w:w="288" w:type="dxa"/>
            <w:tcBorders/>
            <w:shd w:fill="FFFFFF" w:val="clear"/>
            <w:vAlign w:val="center"/>
          </w:tcPr>
          <w:p>
            <w:pPr>
              <w:pStyle w:val="TableContents"/>
              <w:bidi w:val="0"/>
              <w:spacing w:before="0" w:after="283"/>
              <w:ind w:left="0" w:right="0" w:hanging="0"/>
              <w:jc w:val="left"/>
              <w:rPr/>
            </w:pPr>
            <w:r>
              <w:rPr/>
              <w:t> </w:t>
            </w:r>
          </w:p>
        </w:tc>
        <w:tc>
          <w:tcPr>
            <w:tcW w:w="1366"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(135</w:t>
            </w:r>
          </w:p>
        </w:tc>
        <w:tc>
          <w:tcPr>
            <w:tcW w:w="80"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FFFFFF" w:val="clear"/>
            <w:vAlign w:val="center"/>
          </w:tcPr>
          <w:p>
            <w:pPr>
              <w:pStyle w:val="TableContents"/>
              <w:bidi w:val="0"/>
              <w:spacing w:before="0" w:after="283"/>
              <w:jc w:val="left"/>
              <w:rPr/>
            </w:pPr>
            <w:r>
              <w:rPr/>
              <w:t> </w:t>
            </w:r>
          </w:p>
        </w:tc>
        <w:tc>
          <w:tcPr>
            <w:tcW w:w="280" w:type="dxa"/>
            <w:tcBorders/>
            <w:shd w:fill="FFFFFF" w:val="clear"/>
            <w:vAlign w:val="center"/>
          </w:tcPr>
          <w:p>
            <w:pPr>
              <w:pStyle w:val="TableContents"/>
              <w:bidi w:val="0"/>
              <w:spacing w:before="0" w:after="283"/>
              <w:ind w:left="0" w:right="0" w:hanging="0"/>
              <w:jc w:val="left"/>
              <w:rPr/>
            </w:pPr>
            <w:r>
              <w:rPr/>
              <w:t> </w:t>
            </w:r>
          </w:p>
        </w:tc>
        <w:tc>
          <w:tcPr>
            <w:tcW w:w="1329"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(374</w:t>
            </w:r>
          </w:p>
        </w:tc>
        <w:tc>
          <w:tcPr>
            <w:tcW w:w="80"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r>
        <w:trPr/>
        <w:tc>
          <w:tcPr>
            <w:tcW w:w="3335"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Sold</w:t>
            </w:r>
          </w:p>
        </w:tc>
        <w:tc>
          <w:tcPr>
            <w:tcW w:w="60" w:type="dxa"/>
            <w:tcBorders/>
            <w:shd w:fill="CCEEFF" w:val="clear"/>
            <w:vAlign w:val="center"/>
          </w:tcPr>
          <w:p>
            <w:pPr>
              <w:pStyle w:val="TableContents"/>
              <w:bidi w:val="0"/>
              <w:spacing w:before="0" w:after="283"/>
              <w:jc w:val="left"/>
              <w:rPr/>
            </w:pPr>
            <w:r>
              <w:rPr/>
              <w:t> </w:t>
            </w:r>
          </w:p>
        </w:tc>
        <w:tc>
          <w:tcPr>
            <w:tcW w:w="288" w:type="dxa"/>
            <w:tcBorders/>
            <w:shd w:fill="CCEEFF" w:val="clear"/>
            <w:vAlign w:val="center"/>
          </w:tcPr>
          <w:p>
            <w:pPr>
              <w:pStyle w:val="TableContents"/>
              <w:bidi w:val="0"/>
              <w:spacing w:before="0" w:after="283"/>
              <w:ind w:left="0" w:right="0" w:hanging="0"/>
              <w:jc w:val="left"/>
              <w:rPr/>
            </w:pPr>
            <w:r>
              <w:rPr/>
              <w:t> </w:t>
            </w:r>
          </w:p>
        </w:tc>
        <w:tc>
          <w:tcPr>
            <w:tcW w:w="1366"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(493</w:t>
            </w:r>
          </w:p>
        </w:tc>
        <w:tc>
          <w:tcPr>
            <w:tcW w:w="80"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bidi w:val="0"/>
              <w:spacing w:before="0" w:after="283"/>
              <w:jc w:val="left"/>
              <w:rPr/>
            </w:pPr>
            <w:r>
              <w:rPr/>
              <w:t> </w:t>
            </w:r>
          </w:p>
        </w:tc>
        <w:tc>
          <w:tcPr>
            <w:tcW w:w="280" w:type="dxa"/>
            <w:tcBorders/>
            <w:shd w:fill="CCEEFF" w:val="clear"/>
            <w:vAlign w:val="center"/>
          </w:tcPr>
          <w:p>
            <w:pPr>
              <w:pStyle w:val="TableContents"/>
              <w:bidi w:val="0"/>
              <w:spacing w:before="0" w:after="283"/>
              <w:ind w:left="0" w:right="0" w:hanging="0"/>
              <w:jc w:val="left"/>
              <w:rPr/>
            </w:pPr>
            <w:r>
              <w:rPr/>
              <w:t> </w:t>
            </w:r>
          </w:p>
        </w:tc>
        <w:tc>
          <w:tcPr>
            <w:tcW w:w="1329"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(5,435</w:t>
            </w:r>
          </w:p>
        </w:tc>
        <w:tc>
          <w:tcPr>
            <w:tcW w:w="80"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r>
        <w:trPr/>
        <w:tc>
          <w:tcPr>
            <w:tcW w:w="3335"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Accretion</w:t>
            </w:r>
          </w:p>
        </w:tc>
        <w:tc>
          <w:tcPr>
            <w:tcW w:w="60" w:type="dxa"/>
            <w:tcBorders/>
            <w:shd w:fill="FFFFFF" w:val="clear"/>
            <w:vAlign w:val="center"/>
          </w:tcPr>
          <w:p>
            <w:pPr>
              <w:pStyle w:val="TableContents"/>
              <w:bidi w:val="0"/>
              <w:spacing w:before="0" w:after="283"/>
              <w:jc w:val="left"/>
              <w:rPr/>
            </w:pPr>
            <w:r>
              <w:rPr/>
              <w:t> </w:t>
            </w:r>
          </w:p>
        </w:tc>
        <w:tc>
          <w:tcPr>
            <w:tcW w:w="288"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366"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848</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8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329"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1,550</w:t>
            </w:r>
          </w:p>
        </w:tc>
        <w:tc>
          <w:tcPr>
            <w:tcW w:w="80" w:type="dxa"/>
            <w:tcBorders/>
            <w:shd w:fill="FFFFFF" w:val="clear"/>
            <w:vAlign w:val="center"/>
          </w:tcPr>
          <w:p>
            <w:pPr>
              <w:pStyle w:val="TableContents"/>
              <w:bidi w:val="0"/>
              <w:spacing w:before="0" w:after="283"/>
              <w:jc w:val="left"/>
              <w:rPr/>
            </w:pPr>
            <w:r>
              <w:rPr/>
              <w:t> </w:t>
            </w:r>
          </w:p>
        </w:tc>
      </w:tr>
      <w:tr>
        <w:trPr/>
        <w:tc>
          <w:tcPr>
            <w:tcW w:w="3335" w:type="dxa"/>
            <w:tcBorders/>
            <w:shd w:fill="CCEE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Balance, end of period</w:t>
            </w:r>
          </w:p>
        </w:tc>
        <w:tc>
          <w:tcPr>
            <w:tcW w:w="60" w:type="dxa"/>
            <w:tcBorders/>
            <w:shd w:fill="CCEEFF" w:val="clear"/>
            <w:vAlign w:val="center"/>
          </w:tcPr>
          <w:p>
            <w:pPr>
              <w:pStyle w:val="TableContents"/>
              <w:bidi w:val="0"/>
              <w:spacing w:before="0" w:after="283"/>
              <w:ind w:left="0" w:right="0" w:hanging="0"/>
              <w:jc w:val="left"/>
              <w:rPr/>
            </w:pPr>
            <w:r>
              <w:rPr/>
              <w:t> </w:t>
            </w:r>
          </w:p>
        </w:tc>
        <w:tc>
          <w:tcPr>
            <w:tcW w:w="288"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1366"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13,031</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80"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1329"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14,083</w:t>
            </w:r>
          </w:p>
        </w:tc>
        <w:tc>
          <w:tcPr>
            <w:tcW w:w="80" w:type="dxa"/>
            <w:tcBorders/>
            <w:shd w:fill="CCEEFF" w:val="clear"/>
            <w:vAlign w:val="center"/>
          </w:tcPr>
          <w:p>
            <w:pPr>
              <w:pStyle w:val="TableContents"/>
              <w:bidi w:val="0"/>
              <w:spacing w:before="0" w:after="283"/>
              <w:jc w:val="left"/>
              <w:rPr/>
            </w:pPr>
            <w:r>
              <w:rPr/>
              <w:t> </w:t>
            </w:r>
          </w:p>
        </w:tc>
      </w:tr>
      <w:tr>
        <w:trPr/>
        <w:tc>
          <w:tcPr>
            <w:tcW w:w="333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88" w:type="dxa"/>
            <w:tcBorders/>
            <w:shd w:fill="FFFFFF" w:val="clear"/>
            <w:vAlign w:val="center"/>
          </w:tcPr>
          <w:p>
            <w:pPr>
              <w:pStyle w:val="TableContents"/>
              <w:bidi w:val="0"/>
              <w:spacing w:before="0" w:after="283"/>
              <w:jc w:val="left"/>
              <w:rPr/>
            </w:pPr>
            <w:r>
              <w:rPr/>
              <w:t> </w:t>
            </w:r>
          </w:p>
        </w:tc>
        <w:tc>
          <w:tcPr>
            <w:tcW w:w="1366"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80" w:type="dxa"/>
            <w:tcBorders/>
            <w:shd w:fill="FFFFFF" w:val="clear"/>
            <w:vAlign w:val="center"/>
          </w:tcPr>
          <w:p>
            <w:pPr>
              <w:pStyle w:val="TableContents"/>
              <w:bidi w:val="0"/>
              <w:spacing w:before="0" w:after="283"/>
              <w:jc w:val="left"/>
              <w:rPr/>
            </w:pPr>
            <w:r>
              <w:rPr/>
              <w:t> </w:t>
            </w:r>
          </w:p>
        </w:tc>
        <w:tc>
          <w:tcPr>
            <w:tcW w:w="1329"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r>
      <w:tr>
        <w:trPr/>
        <w:tc>
          <w:tcPr>
            <w:tcW w:w="3335"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Asset retirement obligations - current</w:t>
            </w:r>
          </w:p>
        </w:tc>
        <w:tc>
          <w:tcPr>
            <w:tcW w:w="60" w:type="dxa"/>
            <w:tcBorders/>
            <w:shd w:fill="CCEEFF" w:val="clear"/>
            <w:vAlign w:val="center"/>
          </w:tcPr>
          <w:p>
            <w:pPr>
              <w:pStyle w:val="TableContents"/>
              <w:bidi w:val="0"/>
              <w:spacing w:before="0" w:after="283"/>
              <w:jc w:val="left"/>
              <w:rPr/>
            </w:pPr>
            <w:r>
              <w:rPr/>
              <w:t> </w:t>
            </w:r>
          </w:p>
        </w:tc>
        <w:tc>
          <w:tcPr>
            <w:tcW w:w="288"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1366" w:type="dxa"/>
            <w:tcBorders/>
            <w:shd w:fill="CCEE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300</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80"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1329" w:type="dxa"/>
            <w:tcBorders/>
            <w:shd w:fill="CCEE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1,000</w:t>
            </w:r>
          </w:p>
        </w:tc>
        <w:tc>
          <w:tcPr>
            <w:tcW w:w="80" w:type="dxa"/>
            <w:tcBorders/>
            <w:shd w:fill="CCEEFF" w:val="clear"/>
            <w:vAlign w:val="center"/>
          </w:tcPr>
          <w:p>
            <w:pPr>
              <w:pStyle w:val="TableContents"/>
              <w:bidi w:val="0"/>
              <w:spacing w:before="0" w:after="283"/>
              <w:ind w:left="0" w:right="0" w:hanging="0"/>
              <w:jc w:val="left"/>
              <w:rPr/>
            </w:pPr>
            <w:r>
              <w:rPr/>
              <w:t> </w:t>
            </w:r>
          </w:p>
        </w:tc>
      </w:tr>
      <w:tr>
        <w:trPr/>
        <w:tc>
          <w:tcPr>
            <w:tcW w:w="3335"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Asset retirement obligations - noncurrent</w:t>
            </w:r>
          </w:p>
        </w:tc>
        <w:tc>
          <w:tcPr>
            <w:tcW w:w="60" w:type="dxa"/>
            <w:tcBorders/>
            <w:shd w:fill="FFFFFF" w:val="clear"/>
            <w:vAlign w:val="center"/>
          </w:tcPr>
          <w:p>
            <w:pPr>
              <w:pStyle w:val="TableContents"/>
              <w:bidi w:val="0"/>
              <w:spacing w:before="0" w:after="0"/>
              <w:ind w:left="0" w:right="0" w:hanging="0"/>
              <w:jc w:val="left"/>
              <w:rPr/>
            </w:pPr>
            <w:r>
              <w:rPr/>
              <w:t> </w:t>
            </w:r>
          </w:p>
        </w:tc>
        <w:tc>
          <w:tcPr>
            <w:tcW w:w="288"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1366"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12,731</w:t>
            </w:r>
          </w:p>
        </w:tc>
        <w:tc>
          <w:tcPr>
            <w:tcW w:w="8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28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1329"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13,083</w:t>
            </w:r>
          </w:p>
        </w:tc>
        <w:tc>
          <w:tcPr>
            <w:tcW w:w="80" w:type="dxa"/>
            <w:tcBorders/>
            <w:shd w:fill="FFFFFF" w:val="clear"/>
            <w:vAlign w:val="center"/>
          </w:tcPr>
          <w:p>
            <w:pPr>
              <w:pStyle w:val="TableContents"/>
              <w:bidi w:val="0"/>
              <w:spacing w:before="0" w:after="0"/>
              <w:ind w:left="0" w:right="0" w:hanging="0"/>
              <w:jc w:val="left"/>
              <w:rPr/>
            </w:pPr>
            <w:r>
              <w:rPr/>
              <w:t> </w:t>
            </w:r>
          </w:p>
        </w:tc>
      </w:tr>
      <w:tr>
        <w:trPr/>
        <w:tc>
          <w:tcPr>
            <w:tcW w:w="3335"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Balance, end of period</w:t>
            </w:r>
          </w:p>
        </w:tc>
        <w:tc>
          <w:tcPr>
            <w:tcW w:w="60" w:type="dxa"/>
            <w:tcBorders/>
            <w:shd w:fill="CCEEFF" w:val="clear"/>
            <w:vAlign w:val="center"/>
          </w:tcPr>
          <w:p>
            <w:pPr>
              <w:pStyle w:val="TableContents"/>
              <w:bidi w:val="0"/>
              <w:spacing w:before="0" w:after="0"/>
              <w:ind w:left="0" w:right="0" w:hanging="0"/>
              <w:jc w:val="left"/>
              <w:rPr/>
            </w:pPr>
            <w:r>
              <w:rPr/>
              <w:t> </w:t>
            </w:r>
          </w:p>
        </w:tc>
        <w:tc>
          <w:tcPr>
            <w:tcW w:w="288"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c>
          <w:tcPr>
            <w:tcW w:w="136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13,031</w:t>
            </w:r>
          </w:p>
        </w:tc>
        <w:tc>
          <w:tcPr>
            <w:tcW w:w="8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280"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c>
          <w:tcPr>
            <w:tcW w:w="1329"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14,083</w:t>
            </w:r>
          </w:p>
        </w:tc>
        <w:tc>
          <w:tcPr>
            <w:tcW w:w="80" w:type="dxa"/>
            <w:tcBorders/>
            <w:shd w:fill="CCEEFF" w:val="clear"/>
            <w:vAlign w:val="center"/>
          </w:tcPr>
          <w:p>
            <w:pPr>
              <w:pStyle w:val="TableContents"/>
              <w:bidi w:val="0"/>
              <w:spacing w:before="0" w:after="0"/>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pPr>
      <w:r>
        <w:rPr>
          <w:rStyle w:val="Emphasis"/>
          <w:rFonts w:ascii="Times New Roman" w:hAnsi="Times New Roman"/>
          <w:sz w:val="20"/>
        </w:rPr>
        <w:t>14</w:t>
      </w:r>
      <w:r>
        <w:rPr>
          <w:rFonts w:ascii="Times New Roman" w:hAnsi="Times New Roman"/>
          <w:sz w:val="20"/>
        </w:rPr>
        <w:t xml:space="preserve">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0"/>
        <w:jc w:val="left"/>
        <w:rPr/>
      </w:pPr>
      <w:r>
        <w:rPr/>
        <w:t xml:space="preserve">   </w:t>
      </w:r>
    </w:p>
    <w:p>
      <w:pPr>
        <w:pStyle w:val="TextBody"/>
        <w:bidi w:val="0"/>
        <w:spacing w:before="0" w:after="283"/>
        <w:jc w:val="left"/>
        <w:rPr/>
      </w:pPr>
      <w:r>
        <w:rPr/>
        <w:t xml:space="preserve">  </w:t>
      </w:r>
    </w:p>
    <w:p>
      <w:pPr>
        <w:pStyle w:val="TextBody"/>
        <w:bidi w:val="0"/>
        <w:spacing w:before="0" w:after="0"/>
        <w:ind w:left="0" w:right="0" w:hanging="0"/>
        <w:jc w:val="both"/>
        <w:rPr/>
      </w:pPr>
      <w:r>
        <w:rPr>
          <w:rStyle w:val="Emphasis"/>
          <w:rFonts w:ascii="Times New Roman" w:hAnsi="Times New Roman"/>
          <w:b/>
          <w:caps w:val="false"/>
          <w:smallCaps w:val="false"/>
          <w:sz w:val="20"/>
        </w:rPr>
        <w:t>11.</w:t>
      </w:r>
      <w:r>
        <w:rPr>
          <w:rFonts w:ascii="Times New Roman" w:hAnsi="Times New Roman"/>
          <w:b/>
          <w:caps w:val="false"/>
          <w:smallCaps w:val="false"/>
          <w:sz w:val="20"/>
        </w:rPr>
        <w:t xml:space="preserve"> INCOME TAXES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caps w:val="false"/>
          <w:smallCaps w:val="false"/>
          <w:sz w:val="20"/>
        </w:rPr>
        <w:t>The Company’s tax provision or benefit from income taxes for interim periods is determined using an estimate of its annual effective tax rate, adjusted for discrete items, if any. Each quarter the Company updates its estimate of the annual effective tax rate and makes a year-to-date adjustment to the provision. The Company’s effective tax rate was approximately 0% and 0% for the </w:t>
      </w:r>
      <w:r>
        <w:rPr>
          <w:rStyle w:val="Emphasis"/>
          <w:rFonts w:ascii="Times New Roman" w:hAnsi="Times New Roman"/>
          <w:caps w:val="false"/>
          <w:smallCaps w:val="false"/>
          <w:sz w:val="20"/>
        </w:rPr>
        <w:t>three</w:t>
      </w:r>
      <w:r>
        <w:rPr>
          <w:rFonts w:ascii="Times New Roman" w:hAnsi="Times New Roman"/>
          <w:caps w:val="false"/>
          <w:smallCaps w:val="false"/>
          <w:sz w:val="20"/>
        </w:rPr>
        <w:t xml:space="preserve"> and </w:t>
      </w:r>
      <w:r>
        <w:rPr>
          <w:rStyle w:val="Emphasis"/>
          <w:rFonts w:ascii="Times New Roman" w:hAnsi="Times New Roman"/>
          <w:caps w:val="false"/>
          <w:smallCaps w:val="false"/>
          <w:sz w:val="20"/>
        </w:rPr>
        <w:t>nine</w:t>
      </w:r>
      <w:r>
        <w:rPr>
          <w:rFonts w:ascii="Times New Roman" w:hAnsi="Times New Roman"/>
          <w:caps w:val="false"/>
          <w:smallCaps w:val="false"/>
          <w:sz w:val="20"/>
        </w:rPr>
        <w:t xml:space="preserve"> months ended </w:t>
      </w:r>
      <w:r>
        <w:rPr>
          <w:rStyle w:val="Emphasis"/>
          <w:rFonts w:ascii="Times New Roman" w:hAnsi="Times New Roman"/>
          <w:caps w:val="false"/>
          <w:smallCaps w:val="false"/>
          <w:sz w:val="20"/>
        </w:rPr>
        <w:t xml:space="preserve">September 30, 2025 </w:t>
      </w:r>
      <w:r>
        <w:rPr>
          <w:rFonts w:ascii="Times New Roman" w:hAnsi="Times New Roman"/>
          <w:caps w:val="false"/>
          <w:smallCaps w:val="false"/>
          <w:sz w:val="20"/>
        </w:rPr>
        <w:t xml:space="preserve">and </w:t>
      </w:r>
      <w:r>
        <w:rPr>
          <w:rStyle w:val="Emphasis"/>
          <w:rFonts w:ascii="Times New Roman" w:hAnsi="Times New Roman"/>
          <w:caps w:val="false"/>
          <w:smallCaps w:val="false"/>
          <w:sz w:val="20"/>
        </w:rPr>
        <w:t>2024</w:t>
      </w:r>
      <w:r>
        <w:rPr>
          <w:rFonts w:ascii="Times New Roman" w:hAnsi="Times New Roman"/>
          <w:caps w:val="false"/>
          <w:smallCaps w:val="false"/>
          <w:sz w:val="20"/>
        </w:rPr>
        <w:t>, respectively. The primary difference in the Company’s effective tax rate and the statutory rate for both periods is related to the movement in the valuation allowance against the Company’s net deferred tax assets.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caps w:val="false"/>
          <w:smallCaps w:val="false"/>
          <w:sz w:val="20"/>
        </w:rPr>
        <w:t xml:space="preserve">Deferred taxes are recognized for the expected future tax consequences of temporary differences between the financial statement and tax basis of assets, liabilities, net operating losses and tax credit carry-forwards. We review our deferred tax assets (“DTAs”) and valuation allowance on a quarterly basis. As part of our review, we consider positive and negative evidence, including cumulative results in recent years.  The </w:t>
      </w:r>
      <w:r>
        <w:rPr>
          <w:rStyle w:val="Emphasis"/>
          <w:rFonts w:ascii="Times New Roman" w:hAnsi="Times New Roman"/>
          <w:caps w:val="false"/>
          <w:smallCaps w:val="false"/>
          <w:sz w:val="20"/>
        </w:rPr>
        <w:t xml:space="preserve">January 5, 2022 </w:t>
      </w:r>
      <w:r>
        <w:rPr>
          <w:rFonts w:ascii="Times New Roman" w:hAnsi="Times New Roman"/>
          <w:caps w:val="false"/>
          <w:smallCaps w:val="false"/>
          <w:sz w:val="20"/>
        </w:rPr>
        <w:t xml:space="preserve">transaction triggered an Internal Revenue Code ("IRC") Section </w:t>
      </w:r>
      <w:r>
        <w:rPr>
          <w:rStyle w:val="Emphasis"/>
          <w:rFonts w:ascii="Times New Roman" w:hAnsi="Times New Roman"/>
          <w:caps w:val="false"/>
          <w:smallCaps w:val="false"/>
          <w:sz w:val="20"/>
        </w:rPr>
        <w:t>382</w:t>
      </w:r>
      <w:r>
        <w:rPr>
          <w:rFonts w:ascii="Times New Roman" w:hAnsi="Times New Roman"/>
          <w:caps w:val="false"/>
          <w:smallCaps w:val="false"/>
          <w:sz w:val="20"/>
        </w:rPr>
        <w:t xml:space="preserve"> ownership change, and therefore placed additional limitations on the Company’s pre-transaction net operating loss ("NOL") and other tax attributes. </w:t>
      </w:r>
      <w:r>
        <w:rPr>
          <w:rStyle w:val="Emphasis"/>
          <w:rFonts w:ascii="Times New Roman" w:hAnsi="Times New Roman"/>
          <w:caps w:val="false"/>
          <w:smallCaps w:val="false"/>
          <w:sz w:val="20"/>
        </w:rPr>
        <w:t>No</w:t>
      </w:r>
      <w:r>
        <w:rPr>
          <w:rFonts w:ascii="Times New Roman" w:hAnsi="Times New Roman"/>
          <w:caps w:val="false"/>
          <w:smallCaps w:val="false"/>
          <w:sz w:val="20"/>
        </w:rPr>
        <w:t xml:space="preserve"> additional ownership changes have occurred since then.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caps w:val="false"/>
          <w:smallCaps w:val="false"/>
          <w:sz w:val="20"/>
        </w:rPr>
        <w:t>The Company recognizes, measures, and discloses uncertain tax positions whereby tax positions must meet a “more-likely-than-</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threshold to be recognized. During the </w:t>
      </w:r>
      <w:r>
        <w:rPr>
          <w:rStyle w:val="Emphasis"/>
          <w:rFonts w:ascii="Times New Roman" w:hAnsi="Times New Roman"/>
          <w:caps w:val="false"/>
          <w:smallCaps w:val="false"/>
          <w:sz w:val="20"/>
        </w:rPr>
        <w:t>three</w:t>
      </w:r>
      <w:r>
        <w:rPr>
          <w:rFonts w:ascii="Times New Roman" w:hAnsi="Times New Roman"/>
          <w:caps w:val="false"/>
          <w:smallCaps w:val="false"/>
          <w:sz w:val="20"/>
        </w:rPr>
        <w:t xml:space="preserve"> and </w:t>
      </w:r>
      <w:r>
        <w:rPr>
          <w:rStyle w:val="Emphasis"/>
          <w:rFonts w:ascii="Times New Roman" w:hAnsi="Times New Roman"/>
          <w:caps w:val="false"/>
          <w:smallCaps w:val="false"/>
          <w:sz w:val="20"/>
        </w:rPr>
        <w:t>nine</w:t>
      </w:r>
      <w:r>
        <w:rPr>
          <w:rFonts w:ascii="Times New Roman" w:hAnsi="Times New Roman"/>
          <w:caps w:val="false"/>
          <w:smallCaps w:val="false"/>
          <w:sz w:val="20"/>
        </w:rPr>
        <w:t xml:space="preserve"> months ended </w:t>
      </w:r>
      <w:r>
        <w:rPr>
          <w:rStyle w:val="Emphasis"/>
          <w:rFonts w:ascii="Times New Roman" w:hAnsi="Times New Roman"/>
          <w:caps w:val="false"/>
          <w:smallCaps w:val="false"/>
          <w:sz w:val="20"/>
        </w:rPr>
        <w:t xml:space="preserve">September 30, 2025 </w:t>
      </w:r>
      <w:r>
        <w:rPr>
          <w:rFonts w:ascii="Times New Roman" w:hAnsi="Times New Roman"/>
          <w:caps w:val="false"/>
          <w:smallCaps w:val="false"/>
          <w:sz w:val="20"/>
        </w:rPr>
        <w:t xml:space="preserve">and </w:t>
      </w:r>
      <w:r>
        <w:rPr>
          <w:rStyle w:val="Emphasis"/>
          <w:rFonts w:ascii="Times New Roman" w:hAnsi="Times New Roman"/>
          <w:caps w:val="false"/>
          <w:smallCaps w:val="false"/>
          <w:sz w:val="20"/>
        </w:rPr>
        <w:t>2024</w:t>
      </w:r>
      <w:r>
        <w:rPr>
          <w:rFonts w:ascii="Times New Roman" w:hAnsi="Times New Roman"/>
          <w:caps w:val="false"/>
          <w:smallCaps w:val="false"/>
          <w:sz w:val="20"/>
        </w:rPr>
        <w:t>, no adjustments were recognized for uncertain tax positions.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caps w:val="false"/>
          <w:smallCaps w:val="false"/>
          <w:sz w:val="20"/>
        </w:rPr>
        <w:t xml:space="preserve">The Company is subject to examination by the Internal Revenue Service (IRS) and various state tax authorities. The Company is currently under examination by IRS for the </w:t>
      </w:r>
      <w:r>
        <w:rPr>
          <w:rStyle w:val="Emphasis"/>
          <w:rFonts w:ascii="Times New Roman" w:hAnsi="Times New Roman"/>
          <w:caps w:val="false"/>
          <w:smallCaps w:val="false"/>
          <w:sz w:val="20"/>
        </w:rPr>
        <w:t>2023</w:t>
      </w:r>
      <w:r>
        <w:rPr>
          <w:rFonts w:ascii="Times New Roman" w:hAnsi="Times New Roman"/>
          <w:caps w:val="false"/>
          <w:smallCaps w:val="false"/>
          <w:sz w:val="20"/>
        </w:rPr>
        <w:t xml:space="preserve"> tax year. While the outcome of this examination cannot be predicted, management does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expect the results to have a material effect on the condensed consolidated financial statements.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283"/>
        <w:jc w:val="left"/>
        <w:rPr/>
      </w:pPr>
      <w:r>
        <w:rPr/>
        <w:t xml:space="preserve">  </w:t>
      </w:r>
    </w:p>
    <w:p>
      <w:pPr>
        <w:pStyle w:val="TextBody"/>
        <w:bidi w:val="0"/>
        <w:spacing w:before="0" w:after="0"/>
        <w:ind w:left="0" w:right="0" w:hanging="0"/>
        <w:jc w:val="both"/>
        <w:rPr/>
      </w:pPr>
      <w:r>
        <w:rPr>
          <w:rStyle w:val="Emphasis"/>
          <w:rFonts w:ascii="Times New Roman" w:hAnsi="Times New Roman"/>
          <w:b/>
          <w:caps w:val="false"/>
          <w:smallCaps w:val="false"/>
          <w:sz w:val="20"/>
        </w:rPr>
        <w:t>12.</w:t>
      </w:r>
      <w:r>
        <w:rPr>
          <w:rFonts w:ascii="Times New Roman" w:hAnsi="Times New Roman"/>
          <w:b/>
          <w:caps w:val="false"/>
          <w:smallCaps w:val="false"/>
          <w:sz w:val="20"/>
        </w:rPr>
        <w:t xml:space="preserve"> INCOME (LOSS) PER SHARE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caps w:val="false"/>
          <w:smallCaps w:val="false"/>
          <w:sz w:val="20"/>
        </w:rPr>
        <w:t xml:space="preserve">Basic net income (loss) per common share is calculated by dividing net income (loss) attributable to common shareholders by the weighted-average number of common shares outstanding for the respective period. Diluted net income (loss) per common share is calculated by dividing adjusted net income by the diluted weighted average number of common shares outstanding, which includes the effect of potentially dilutive securities. Potentially dilutive securities for this calculation consist of stock options and unvested shares of restricted common stock, which are measured using the treasury stock method. When the Company recognizes a net loss, all potentially dilutive shares are anti-dilutive and are consequently excluded from the calculation of dilutive net loss per common share. Unvested shares of restricted stock participate in dividend distributions; however, they do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participate in losses. Therefore, dividends, if any, attributable to participating securities are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included as a reduction in the calculation of loss attributable to common shareholders.</w:t>
      </w:r>
    </w:p>
    <w:p>
      <w:pPr>
        <w:pStyle w:val="TextBody"/>
        <w:bidi w:val="0"/>
        <w:spacing w:before="0" w:after="0"/>
        <w:ind w:left="160" w:right="0" w:hanging="0"/>
        <w:jc w:val="left"/>
        <w:rPr>
          <w:caps w:val="false"/>
          <w:smallCaps w:val="false"/>
        </w:rPr>
      </w:pPr>
      <w:r>
        <w:rPr>
          <w:caps w:val="false"/>
          <w:smallCaps w:val="false"/>
        </w:rPr>
        <w:t> </w:t>
      </w:r>
    </w:p>
    <w:p>
      <w:pPr>
        <w:pStyle w:val="TextBody"/>
        <w:bidi w:val="0"/>
        <w:spacing w:before="0" w:after="0"/>
        <w:jc w:val="center"/>
        <w:rPr/>
      </w:pPr>
      <w:r>
        <w:rPr>
          <w:rStyle w:val="Emphasis"/>
          <w:rFonts w:ascii="Times New Roman" w:hAnsi="Times New Roman"/>
          <w:sz w:val="20"/>
        </w:rPr>
        <w:t>15</w:t>
      </w:r>
      <w:r>
        <w:rPr>
          <w:rFonts w:ascii="Times New Roman" w:hAnsi="Times New Roman"/>
          <w:sz w:val="20"/>
        </w:rPr>
        <w:t xml:space="preserve">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283"/>
        <w:jc w:val="left"/>
        <w:rPr/>
      </w:pPr>
      <w:r>
        <w:rPr/>
        <w:t xml:space="preserve">  </w:t>
      </w:r>
    </w:p>
    <w:p>
      <w:pPr>
        <w:pStyle w:val="TextBody"/>
        <w:bidi w:val="0"/>
        <w:spacing w:before="0" w:after="0"/>
        <w:ind w:left="0" w:right="0" w:hanging="0"/>
        <w:jc w:val="both"/>
        <w:rPr/>
      </w:pPr>
      <w:r>
        <w:rPr>
          <w:rFonts w:ascii="Times New Roman" w:hAnsi="Times New Roman"/>
          <w:caps w:val="false"/>
          <w:smallCaps w:val="false"/>
          <w:sz w:val="20"/>
        </w:rPr>
        <w:t xml:space="preserve">The following table sets forth the calculation of basic and diluted net loss per share for the </w:t>
      </w:r>
      <w:r>
        <w:rPr>
          <w:rStyle w:val="Emphasis"/>
          <w:rFonts w:ascii="Times New Roman" w:hAnsi="Times New Roman"/>
          <w:caps w:val="false"/>
          <w:smallCaps w:val="false"/>
          <w:sz w:val="20"/>
        </w:rPr>
        <w:t>three</w:t>
      </w:r>
      <w:r>
        <w:rPr>
          <w:rFonts w:ascii="Times New Roman" w:hAnsi="Times New Roman"/>
          <w:caps w:val="false"/>
          <w:smallCaps w:val="false"/>
          <w:sz w:val="20"/>
        </w:rPr>
        <w:t xml:space="preserve"> and </w:t>
      </w:r>
      <w:r>
        <w:rPr>
          <w:rStyle w:val="Emphasis"/>
          <w:rFonts w:ascii="Times New Roman" w:hAnsi="Times New Roman"/>
          <w:caps w:val="false"/>
          <w:smallCaps w:val="false"/>
          <w:sz w:val="20"/>
        </w:rPr>
        <w:t>nine</w:t>
      </w:r>
      <w:r>
        <w:rPr>
          <w:rFonts w:ascii="Times New Roman" w:hAnsi="Times New Roman"/>
          <w:caps w:val="false"/>
          <w:smallCaps w:val="false"/>
          <w:sz w:val="20"/>
        </w:rPr>
        <w:t xml:space="preserve"> months ended </w:t>
      </w:r>
      <w:r>
        <w:rPr>
          <w:rStyle w:val="Emphasis"/>
          <w:rFonts w:ascii="Times New Roman" w:hAnsi="Times New Roman"/>
          <w:caps w:val="false"/>
          <w:smallCaps w:val="false"/>
          <w:sz w:val="20"/>
        </w:rPr>
        <w:t xml:space="preserve">September 30, 2025 </w:t>
      </w:r>
      <w:r>
        <w:rPr>
          <w:rFonts w:ascii="Times New Roman" w:hAnsi="Times New Roman"/>
          <w:caps w:val="false"/>
          <w:smallCaps w:val="false"/>
          <w:sz w:val="20"/>
        </w:rPr>
        <w:t xml:space="preserve">and </w:t>
      </w:r>
      <w:r>
        <w:rPr>
          <w:rStyle w:val="Emphasis"/>
          <w:rFonts w:ascii="Times New Roman" w:hAnsi="Times New Roman"/>
          <w:caps w:val="false"/>
          <w:smallCaps w:val="false"/>
          <w:sz w:val="20"/>
        </w:rPr>
        <w:t>2024</w:t>
      </w:r>
      <w:r>
        <w:rPr>
          <w:rFonts w:ascii="Times New Roman" w:hAnsi="Times New Roman"/>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4221"/>
        <w:gridCol w:w="60"/>
        <w:gridCol w:w="229"/>
        <w:gridCol w:w="1086"/>
        <w:gridCol w:w="146"/>
        <w:gridCol w:w="109"/>
        <w:gridCol w:w="229"/>
        <w:gridCol w:w="1086"/>
        <w:gridCol w:w="80"/>
        <w:gridCol w:w="60"/>
        <w:gridCol w:w="207"/>
        <w:gridCol w:w="1082"/>
        <w:gridCol w:w="132"/>
        <w:gridCol w:w="99"/>
        <w:gridCol w:w="207"/>
        <w:gridCol w:w="1082"/>
        <w:gridCol w:w="90"/>
      </w:tblGrid>
      <w:tr>
        <w:trPr/>
        <w:tc>
          <w:tcPr>
            <w:tcW w:w="4221"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885"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Three Months Ended September 30,</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809"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Nine Months Ended September 30,</w:t>
            </w:r>
          </w:p>
        </w:tc>
        <w:tc>
          <w:tcPr>
            <w:tcW w:w="90" w:type="dxa"/>
            <w:tcBorders/>
            <w:shd w:fill="FFFFFF" w:val="clear"/>
            <w:vAlign w:val="center"/>
          </w:tcPr>
          <w:p>
            <w:pPr>
              <w:pStyle w:val="TableContents"/>
              <w:bidi w:val="0"/>
              <w:spacing w:before="0" w:after="283"/>
              <w:jc w:val="left"/>
              <w:rPr/>
            </w:pPr>
            <w:r>
              <w:rPr/>
              <w:t> </w:t>
            </w:r>
          </w:p>
        </w:tc>
      </w:tr>
      <w:tr>
        <w:trPr/>
        <w:tc>
          <w:tcPr>
            <w:tcW w:w="4221"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31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2025</w:t>
            </w:r>
          </w:p>
        </w:tc>
        <w:tc>
          <w:tcPr>
            <w:tcW w:w="146" w:type="dxa"/>
            <w:tcBorders/>
            <w:shd w:fill="FFFFFF" w:val="clear"/>
            <w:vAlign w:val="center"/>
          </w:tcPr>
          <w:p>
            <w:pPr>
              <w:pStyle w:val="TableContents"/>
              <w:bidi w:val="0"/>
              <w:spacing w:before="0" w:after="283"/>
              <w:jc w:val="left"/>
              <w:rPr/>
            </w:pPr>
            <w:r>
              <w:rPr/>
              <w:t> </w:t>
            </w:r>
          </w:p>
        </w:tc>
        <w:tc>
          <w:tcPr>
            <w:tcW w:w="109" w:type="dxa"/>
            <w:tcBorders/>
            <w:shd w:fill="FFFFFF" w:val="clear"/>
            <w:vAlign w:val="center"/>
          </w:tcPr>
          <w:p>
            <w:pPr>
              <w:pStyle w:val="TableContents"/>
              <w:bidi w:val="0"/>
              <w:spacing w:before="0" w:after="283"/>
              <w:ind w:left="0" w:right="0" w:hanging="0"/>
              <w:jc w:val="left"/>
              <w:rPr/>
            </w:pPr>
            <w:r>
              <w:rPr/>
              <w:t> </w:t>
            </w:r>
          </w:p>
        </w:tc>
        <w:tc>
          <w:tcPr>
            <w:tcW w:w="131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2024</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89"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2025</w:t>
            </w:r>
          </w:p>
        </w:tc>
        <w:tc>
          <w:tcPr>
            <w:tcW w:w="132" w:type="dxa"/>
            <w:tcBorders/>
            <w:shd w:fill="FFFFFF" w:val="clear"/>
            <w:vAlign w:val="center"/>
          </w:tcPr>
          <w:p>
            <w:pPr>
              <w:pStyle w:val="TableContents"/>
              <w:bidi w:val="0"/>
              <w:spacing w:before="0" w:after="283"/>
              <w:jc w:val="left"/>
              <w:rPr/>
            </w:pPr>
            <w:r>
              <w:rPr/>
              <w:t> </w:t>
            </w:r>
          </w:p>
        </w:tc>
        <w:tc>
          <w:tcPr>
            <w:tcW w:w="99" w:type="dxa"/>
            <w:tcBorders/>
            <w:shd w:fill="FFFFFF" w:val="clear"/>
            <w:vAlign w:val="center"/>
          </w:tcPr>
          <w:p>
            <w:pPr>
              <w:pStyle w:val="TableContents"/>
              <w:bidi w:val="0"/>
              <w:spacing w:before="0" w:after="283"/>
              <w:ind w:left="0" w:right="0" w:hanging="0"/>
              <w:jc w:val="left"/>
              <w:rPr/>
            </w:pPr>
            <w:r>
              <w:rPr/>
              <w:t> </w:t>
            </w:r>
          </w:p>
        </w:tc>
        <w:tc>
          <w:tcPr>
            <w:tcW w:w="1289"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2024</w:t>
            </w:r>
          </w:p>
        </w:tc>
        <w:tc>
          <w:tcPr>
            <w:tcW w:w="90" w:type="dxa"/>
            <w:tcBorders/>
            <w:shd w:fill="FFFFFF" w:val="clear"/>
            <w:vAlign w:val="center"/>
          </w:tcPr>
          <w:p>
            <w:pPr>
              <w:pStyle w:val="TableContents"/>
              <w:bidi w:val="0"/>
              <w:spacing w:before="0" w:after="283"/>
              <w:jc w:val="left"/>
              <w:rPr/>
            </w:pPr>
            <w:r>
              <w:rPr/>
              <w:t> </w:t>
            </w:r>
          </w:p>
        </w:tc>
      </w:tr>
      <w:tr>
        <w:trPr/>
        <w:tc>
          <w:tcPr>
            <w:tcW w:w="4221"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5834" w:type="dxa"/>
            <w:gridSpan w:val="14"/>
            <w:tcBorders/>
            <w:shd w:fill="FFFFFF" w:val="cle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(in thousands except per share data)</w:t>
            </w:r>
          </w:p>
        </w:tc>
        <w:tc>
          <w:tcPr>
            <w:tcW w:w="90" w:type="dxa"/>
            <w:tcBorders/>
            <w:shd w:fill="FFFFFF" w:val="clear"/>
            <w:vAlign w:val="center"/>
          </w:tcPr>
          <w:p>
            <w:pPr>
              <w:pStyle w:val="TableContents"/>
              <w:bidi w:val="0"/>
              <w:spacing w:before="0" w:after="283"/>
              <w:jc w:val="left"/>
              <w:rPr/>
            </w:pPr>
            <w:r>
              <w:rPr/>
              <w:t> </w:t>
            </w:r>
          </w:p>
        </w:tc>
      </w:tr>
      <w:tr>
        <w:trPr/>
        <w:tc>
          <w:tcPr>
            <w:tcW w:w="4221"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loss attributable to common shareholders</w:t>
            </w:r>
          </w:p>
        </w:tc>
        <w:tc>
          <w:tcPr>
            <w:tcW w:w="60" w:type="dxa"/>
            <w:tcBorders/>
            <w:shd w:fill="CCEEFF" w:val="clear"/>
            <w:vAlign w:val="center"/>
          </w:tcPr>
          <w:p>
            <w:pPr>
              <w:pStyle w:val="TableContents"/>
              <w:bidi w:val="0"/>
              <w:spacing w:before="0" w:after="283"/>
              <w:ind w:left="0" w:right="0" w:hanging="0"/>
              <w:jc w:val="left"/>
              <w:rPr/>
            </w:pPr>
            <w:r>
              <w:rPr/>
              <w:t> </w:t>
            </w:r>
          </w:p>
        </w:tc>
        <w:tc>
          <w:tcPr>
            <w:tcW w:w="229"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8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(3,341</w:t>
            </w:r>
          </w:p>
        </w:tc>
        <w:tc>
          <w:tcPr>
            <w:tcW w:w="146"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09" w:type="dxa"/>
            <w:tcBorders/>
            <w:shd w:fill="CCEEFF" w:val="clear"/>
            <w:vAlign w:val="center"/>
          </w:tcPr>
          <w:p>
            <w:pPr>
              <w:pStyle w:val="TableContents"/>
              <w:bidi w:val="0"/>
              <w:spacing w:before="0" w:after="283"/>
              <w:ind w:left="0" w:right="0" w:hanging="0"/>
              <w:jc w:val="left"/>
              <w:rPr/>
            </w:pPr>
            <w:r>
              <w:rPr/>
              <w:t> </w:t>
            </w:r>
          </w:p>
        </w:tc>
        <w:tc>
          <w:tcPr>
            <w:tcW w:w="229"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8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(2,247</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207"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82"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(12,510</w:t>
            </w:r>
          </w:p>
        </w:tc>
        <w:tc>
          <w:tcPr>
            <w:tcW w:w="132"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99" w:type="dxa"/>
            <w:tcBorders/>
            <w:shd w:fill="CCEEFF" w:val="clear"/>
            <w:vAlign w:val="center"/>
          </w:tcPr>
          <w:p>
            <w:pPr>
              <w:pStyle w:val="TableContents"/>
              <w:bidi w:val="0"/>
              <w:spacing w:before="0" w:after="283"/>
              <w:ind w:left="0" w:right="0" w:hanging="0"/>
              <w:jc w:val="left"/>
              <w:rPr/>
            </w:pPr>
            <w:r>
              <w:rPr/>
              <w:t> </w:t>
            </w:r>
          </w:p>
        </w:tc>
        <w:tc>
          <w:tcPr>
            <w:tcW w:w="207"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82"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(13,758</w:t>
            </w:r>
          </w:p>
        </w:tc>
        <w:tc>
          <w:tcPr>
            <w:tcW w:w="9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4221"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29" w:type="dxa"/>
            <w:tcBorders/>
            <w:shd w:fill="FFFFFF" w:val="clear"/>
            <w:vAlign w:val="center"/>
          </w:tcPr>
          <w:p>
            <w:pPr>
              <w:pStyle w:val="TableContents"/>
              <w:bidi w:val="0"/>
              <w:spacing w:before="0" w:after="283"/>
              <w:jc w:val="left"/>
              <w:rPr/>
            </w:pPr>
            <w:r>
              <w:rPr/>
              <w:t> </w:t>
            </w:r>
          </w:p>
        </w:tc>
        <w:tc>
          <w:tcPr>
            <w:tcW w:w="108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09" w:type="dxa"/>
            <w:tcBorders/>
            <w:shd w:fill="FFFFFF" w:val="clear"/>
            <w:vAlign w:val="center"/>
          </w:tcPr>
          <w:p>
            <w:pPr>
              <w:pStyle w:val="TableContents"/>
              <w:bidi w:val="0"/>
              <w:spacing w:before="0" w:after="283"/>
              <w:jc w:val="left"/>
              <w:rPr/>
            </w:pPr>
            <w:r>
              <w:rPr/>
              <w:t> </w:t>
            </w:r>
          </w:p>
        </w:tc>
        <w:tc>
          <w:tcPr>
            <w:tcW w:w="229" w:type="dxa"/>
            <w:tcBorders/>
            <w:shd w:fill="FFFFFF" w:val="clear"/>
            <w:vAlign w:val="center"/>
          </w:tcPr>
          <w:p>
            <w:pPr>
              <w:pStyle w:val="TableContents"/>
              <w:bidi w:val="0"/>
              <w:spacing w:before="0" w:after="283"/>
              <w:jc w:val="left"/>
              <w:rPr/>
            </w:pPr>
            <w:r>
              <w:rPr/>
              <w:t> </w:t>
            </w:r>
          </w:p>
        </w:tc>
        <w:tc>
          <w:tcPr>
            <w:tcW w:w="1086"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7" w:type="dxa"/>
            <w:tcBorders/>
            <w:shd w:fill="FFFFFF" w:val="clear"/>
            <w:vAlign w:val="center"/>
          </w:tcPr>
          <w:p>
            <w:pPr>
              <w:pStyle w:val="TableContents"/>
              <w:bidi w:val="0"/>
              <w:spacing w:before="0" w:after="283"/>
              <w:jc w:val="left"/>
              <w:rPr/>
            </w:pPr>
            <w:r>
              <w:rPr/>
              <w:t> </w:t>
            </w:r>
          </w:p>
        </w:tc>
        <w:tc>
          <w:tcPr>
            <w:tcW w:w="1082" w:type="dxa"/>
            <w:tcBorders/>
            <w:shd w:fill="FFFFFF" w:val="clear"/>
            <w:vAlign w:val="center"/>
          </w:tcPr>
          <w:p>
            <w:pPr>
              <w:pStyle w:val="TableContents"/>
              <w:bidi w:val="0"/>
              <w:spacing w:before="0" w:after="283"/>
              <w:jc w:val="left"/>
              <w:rPr/>
            </w:pPr>
            <w:r>
              <w:rPr/>
              <w:t> </w:t>
            </w:r>
          </w:p>
        </w:tc>
        <w:tc>
          <w:tcPr>
            <w:tcW w:w="132" w:type="dxa"/>
            <w:tcBorders/>
            <w:shd w:fill="FFFFFF" w:val="clear"/>
            <w:vAlign w:val="center"/>
          </w:tcPr>
          <w:p>
            <w:pPr>
              <w:pStyle w:val="TableContents"/>
              <w:bidi w:val="0"/>
              <w:spacing w:before="0" w:after="283"/>
              <w:jc w:val="left"/>
              <w:rPr/>
            </w:pPr>
            <w:r>
              <w:rPr/>
              <w:t> </w:t>
            </w:r>
          </w:p>
        </w:tc>
        <w:tc>
          <w:tcPr>
            <w:tcW w:w="99" w:type="dxa"/>
            <w:tcBorders/>
            <w:shd w:fill="FFFFFF" w:val="clear"/>
            <w:vAlign w:val="center"/>
          </w:tcPr>
          <w:p>
            <w:pPr>
              <w:pStyle w:val="TableContents"/>
              <w:bidi w:val="0"/>
              <w:spacing w:before="0" w:after="283"/>
              <w:jc w:val="left"/>
              <w:rPr/>
            </w:pPr>
            <w:r>
              <w:rPr/>
              <w:t> </w:t>
            </w:r>
          </w:p>
        </w:tc>
        <w:tc>
          <w:tcPr>
            <w:tcW w:w="207" w:type="dxa"/>
            <w:tcBorders/>
            <w:shd w:fill="FFFFFF" w:val="clear"/>
            <w:vAlign w:val="center"/>
          </w:tcPr>
          <w:p>
            <w:pPr>
              <w:pStyle w:val="TableContents"/>
              <w:bidi w:val="0"/>
              <w:spacing w:before="0" w:after="283"/>
              <w:jc w:val="left"/>
              <w:rPr/>
            </w:pPr>
            <w:r>
              <w:rPr/>
              <w:t> </w:t>
            </w:r>
          </w:p>
        </w:tc>
        <w:tc>
          <w:tcPr>
            <w:tcW w:w="1082"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ind w:left="0" w:right="0" w:hanging="0"/>
              <w:jc w:val="left"/>
              <w:rPr/>
            </w:pPr>
            <w:r>
              <w:rPr/>
              <w:t> </w:t>
            </w:r>
          </w:p>
        </w:tc>
      </w:tr>
      <w:tr>
        <w:trPr/>
        <w:tc>
          <w:tcPr>
            <w:tcW w:w="422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Basic weighted average common shares outstanding</w:t>
            </w:r>
          </w:p>
        </w:tc>
        <w:tc>
          <w:tcPr>
            <w:tcW w:w="60" w:type="dxa"/>
            <w:tcBorders/>
            <w:shd w:fill="CCEEFF" w:val="clear"/>
            <w:vAlign w:val="center"/>
          </w:tcPr>
          <w:p>
            <w:pPr>
              <w:pStyle w:val="TableContents"/>
              <w:bidi w:val="0"/>
              <w:spacing w:before="0" w:after="283"/>
              <w:jc w:val="left"/>
              <w:rPr/>
            </w:pPr>
            <w:r>
              <w:rPr/>
              <w:t> </w:t>
            </w:r>
          </w:p>
        </w:tc>
        <w:tc>
          <w:tcPr>
            <w:tcW w:w="229" w:type="dxa"/>
            <w:tcBorders/>
            <w:shd w:fill="CCEEFF" w:val="clear"/>
            <w:vAlign w:val="center"/>
          </w:tcPr>
          <w:p>
            <w:pPr>
              <w:pStyle w:val="TableContents"/>
              <w:bidi w:val="0"/>
              <w:spacing w:before="0" w:after="283"/>
              <w:ind w:left="0" w:right="0" w:hanging="0"/>
              <w:jc w:val="left"/>
              <w:rPr/>
            </w:pPr>
            <w:r>
              <w:rPr/>
              <w:t> </w:t>
            </w:r>
          </w:p>
        </w:tc>
        <w:tc>
          <w:tcPr>
            <w:tcW w:w="1086" w:type="dxa"/>
            <w:tcBorders/>
            <w:shd w:fill="CCEEFF" w:val="clear"/>
            <w:vAlign w:val="center"/>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32,793</w:t>
            </w:r>
          </w:p>
        </w:tc>
        <w:tc>
          <w:tcPr>
            <w:tcW w:w="146" w:type="dxa"/>
            <w:tcBorders/>
            <w:shd w:fill="CCEEFF" w:val="clear"/>
            <w:vAlign w:val="center"/>
          </w:tcPr>
          <w:p>
            <w:pPr>
              <w:pStyle w:val="TableContents"/>
              <w:bidi w:val="0"/>
              <w:spacing w:before="0" w:after="283"/>
              <w:jc w:val="left"/>
              <w:rPr/>
            </w:pPr>
            <w:r>
              <w:rPr/>
              <w:t> </w:t>
            </w:r>
          </w:p>
        </w:tc>
        <w:tc>
          <w:tcPr>
            <w:tcW w:w="109" w:type="dxa"/>
            <w:tcBorders/>
            <w:shd w:fill="CCEEFF" w:val="clear"/>
            <w:vAlign w:val="center"/>
          </w:tcPr>
          <w:p>
            <w:pPr>
              <w:pStyle w:val="TableContents"/>
              <w:bidi w:val="0"/>
              <w:spacing w:before="0" w:after="283"/>
              <w:jc w:val="left"/>
              <w:rPr/>
            </w:pPr>
            <w:r>
              <w:rPr/>
              <w:t> </w:t>
            </w:r>
          </w:p>
        </w:tc>
        <w:tc>
          <w:tcPr>
            <w:tcW w:w="229" w:type="dxa"/>
            <w:tcBorders/>
            <w:shd w:fill="CCEEFF" w:val="clear"/>
            <w:vAlign w:val="center"/>
          </w:tcPr>
          <w:p>
            <w:pPr>
              <w:pStyle w:val="TableContents"/>
              <w:bidi w:val="0"/>
              <w:spacing w:before="0" w:after="283"/>
              <w:ind w:left="0" w:right="0" w:hanging="0"/>
              <w:jc w:val="left"/>
              <w:rPr/>
            </w:pPr>
            <w:r>
              <w:rPr/>
              <w:t> </w:t>
            </w:r>
          </w:p>
        </w:tc>
        <w:tc>
          <w:tcPr>
            <w:tcW w:w="1086" w:type="dxa"/>
            <w:tcBorders/>
            <w:shd w:fill="CCEEFF" w:val="clear"/>
            <w:vAlign w:val="center"/>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28,052</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7" w:type="dxa"/>
            <w:tcBorders/>
            <w:shd w:fill="CCEEFF" w:val="clear"/>
            <w:vAlign w:val="center"/>
          </w:tcPr>
          <w:p>
            <w:pPr>
              <w:pStyle w:val="TableContents"/>
              <w:bidi w:val="0"/>
              <w:spacing w:before="0" w:after="283"/>
              <w:ind w:left="0" w:right="0" w:hanging="0"/>
              <w:jc w:val="left"/>
              <w:rPr/>
            </w:pPr>
            <w:r>
              <w:rPr/>
              <w:t> </w:t>
            </w:r>
          </w:p>
        </w:tc>
        <w:tc>
          <w:tcPr>
            <w:tcW w:w="1082" w:type="dxa"/>
            <w:tcBorders/>
            <w:shd w:fill="CCEEFF" w:val="clear"/>
            <w:vAlign w:val="center"/>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33,631</w:t>
            </w:r>
          </w:p>
        </w:tc>
        <w:tc>
          <w:tcPr>
            <w:tcW w:w="132" w:type="dxa"/>
            <w:tcBorders/>
            <w:shd w:fill="CCEEFF" w:val="clear"/>
            <w:vAlign w:val="center"/>
          </w:tcPr>
          <w:p>
            <w:pPr>
              <w:pStyle w:val="TableContents"/>
              <w:bidi w:val="0"/>
              <w:spacing w:before="0" w:after="283"/>
              <w:jc w:val="left"/>
              <w:rPr/>
            </w:pPr>
            <w:r>
              <w:rPr/>
              <w:t> </w:t>
            </w:r>
          </w:p>
        </w:tc>
        <w:tc>
          <w:tcPr>
            <w:tcW w:w="99" w:type="dxa"/>
            <w:tcBorders/>
            <w:shd w:fill="CCEEFF" w:val="clear"/>
            <w:vAlign w:val="center"/>
          </w:tcPr>
          <w:p>
            <w:pPr>
              <w:pStyle w:val="TableContents"/>
              <w:bidi w:val="0"/>
              <w:spacing w:before="0" w:after="283"/>
              <w:jc w:val="left"/>
              <w:rPr/>
            </w:pPr>
            <w:r>
              <w:rPr/>
              <w:t> </w:t>
            </w:r>
          </w:p>
        </w:tc>
        <w:tc>
          <w:tcPr>
            <w:tcW w:w="207" w:type="dxa"/>
            <w:tcBorders/>
            <w:shd w:fill="CCEEFF" w:val="clear"/>
            <w:vAlign w:val="center"/>
          </w:tcPr>
          <w:p>
            <w:pPr>
              <w:pStyle w:val="TableContents"/>
              <w:bidi w:val="0"/>
              <w:spacing w:before="0" w:after="283"/>
              <w:ind w:left="0" w:right="0" w:hanging="0"/>
              <w:jc w:val="left"/>
              <w:rPr/>
            </w:pPr>
            <w:r>
              <w:rPr/>
              <w:t> </w:t>
            </w:r>
          </w:p>
        </w:tc>
        <w:tc>
          <w:tcPr>
            <w:tcW w:w="1082" w:type="dxa"/>
            <w:tcBorders/>
            <w:shd w:fill="CCEEFF" w:val="clear"/>
            <w:vAlign w:val="center"/>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26,304</w:t>
            </w:r>
          </w:p>
        </w:tc>
        <w:tc>
          <w:tcPr>
            <w:tcW w:w="90" w:type="dxa"/>
            <w:tcBorders/>
            <w:shd w:fill="CCEEFF" w:val="clear"/>
            <w:vAlign w:val="center"/>
          </w:tcPr>
          <w:p>
            <w:pPr>
              <w:pStyle w:val="TableContents"/>
              <w:bidi w:val="0"/>
              <w:spacing w:before="0" w:after="283"/>
              <w:jc w:val="left"/>
              <w:rPr/>
            </w:pPr>
            <w:r>
              <w:rPr/>
              <w:t> </w:t>
            </w:r>
          </w:p>
        </w:tc>
      </w:tr>
      <w:tr>
        <w:trPr/>
        <w:tc>
          <w:tcPr>
            <w:tcW w:w="4221"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Dilutive effect of potentially dilutive securities</w:t>
            </w:r>
          </w:p>
        </w:tc>
        <w:tc>
          <w:tcPr>
            <w:tcW w:w="60" w:type="dxa"/>
            <w:tcBorders/>
            <w:shd w:fill="FFFFFF" w:val="clear"/>
            <w:vAlign w:val="center"/>
          </w:tcPr>
          <w:p>
            <w:pPr>
              <w:pStyle w:val="TableContents"/>
              <w:bidi w:val="0"/>
              <w:spacing w:before="0" w:after="283"/>
              <w:jc w:val="left"/>
              <w:rPr/>
            </w:pPr>
            <w:r>
              <w:rPr/>
              <w:t> </w:t>
            </w:r>
          </w:p>
        </w:tc>
        <w:tc>
          <w:tcPr>
            <w:tcW w:w="229"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086"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146" w:type="dxa"/>
            <w:tcBorders/>
            <w:shd w:fill="FFFFFF" w:val="clear"/>
            <w:vAlign w:val="center"/>
          </w:tcPr>
          <w:p>
            <w:pPr>
              <w:pStyle w:val="TableContents"/>
              <w:bidi w:val="0"/>
              <w:spacing w:before="0" w:after="283"/>
              <w:jc w:val="left"/>
              <w:rPr/>
            </w:pPr>
            <w:r>
              <w:rPr/>
              <w:t> </w:t>
            </w:r>
          </w:p>
        </w:tc>
        <w:tc>
          <w:tcPr>
            <w:tcW w:w="109" w:type="dxa"/>
            <w:tcBorders/>
            <w:shd w:fill="FFFFFF" w:val="clear"/>
            <w:vAlign w:val="center"/>
          </w:tcPr>
          <w:p>
            <w:pPr>
              <w:pStyle w:val="TableContents"/>
              <w:bidi w:val="0"/>
              <w:spacing w:before="0" w:after="283"/>
              <w:jc w:val="left"/>
              <w:rPr/>
            </w:pPr>
            <w:r>
              <w:rPr/>
              <w:t> </w:t>
            </w:r>
          </w:p>
        </w:tc>
        <w:tc>
          <w:tcPr>
            <w:tcW w:w="229"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086"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7"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082"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132" w:type="dxa"/>
            <w:tcBorders/>
            <w:shd w:fill="FFFFFF" w:val="clear"/>
            <w:vAlign w:val="center"/>
          </w:tcPr>
          <w:p>
            <w:pPr>
              <w:pStyle w:val="TableContents"/>
              <w:bidi w:val="0"/>
              <w:spacing w:before="0" w:after="283"/>
              <w:jc w:val="left"/>
              <w:rPr/>
            </w:pPr>
            <w:r>
              <w:rPr/>
              <w:t> </w:t>
            </w:r>
          </w:p>
        </w:tc>
        <w:tc>
          <w:tcPr>
            <w:tcW w:w="99" w:type="dxa"/>
            <w:tcBorders/>
            <w:shd w:fill="FFFFFF" w:val="clear"/>
            <w:vAlign w:val="center"/>
          </w:tcPr>
          <w:p>
            <w:pPr>
              <w:pStyle w:val="TableContents"/>
              <w:bidi w:val="0"/>
              <w:spacing w:before="0" w:after="283"/>
              <w:jc w:val="left"/>
              <w:rPr/>
            </w:pPr>
            <w:r>
              <w:rPr/>
              <w:t> </w:t>
            </w:r>
          </w:p>
        </w:tc>
        <w:tc>
          <w:tcPr>
            <w:tcW w:w="207"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082"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90" w:type="dxa"/>
            <w:tcBorders/>
            <w:shd w:fill="FFFFFF" w:val="clear"/>
            <w:vAlign w:val="center"/>
          </w:tcPr>
          <w:p>
            <w:pPr>
              <w:pStyle w:val="TableContents"/>
              <w:bidi w:val="0"/>
              <w:spacing w:before="0" w:after="283"/>
              <w:jc w:val="left"/>
              <w:rPr/>
            </w:pPr>
            <w:r>
              <w:rPr/>
              <w:t> </w:t>
            </w:r>
          </w:p>
        </w:tc>
      </w:tr>
      <w:tr>
        <w:trPr/>
        <w:tc>
          <w:tcPr>
            <w:tcW w:w="4221"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Diluted weighted average common shares outstanding</w:t>
            </w:r>
          </w:p>
        </w:tc>
        <w:tc>
          <w:tcPr>
            <w:tcW w:w="60" w:type="dxa"/>
            <w:tcBorders/>
            <w:shd w:fill="CCEEFF" w:val="clear"/>
            <w:vAlign w:val="center"/>
          </w:tcPr>
          <w:p>
            <w:pPr>
              <w:pStyle w:val="TableContents"/>
              <w:bidi w:val="0"/>
              <w:spacing w:before="0" w:after="283"/>
              <w:jc w:val="left"/>
              <w:rPr/>
            </w:pPr>
            <w:r>
              <w:rPr/>
              <w:t> </w:t>
            </w:r>
          </w:p>
        </w:tc>
        <w:tc>
          <w:tcPr>
            <w:tcW w:w="229"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086"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32,793</w:t>
            </w:r>
          </w:p>
        </w:tc>
        <w:tc>
          <w:tcPr>
            <w:tcW w:w="146" w:type="dxa"/>
            <w:tcBorders/>
            <w:shd w:fill="CCEEFF" w:val="clear"/>
            <w:vAlign w:val="center"/>
          </w:tcPr>
          <w:p>
            <w:pPr>
              <w:pStyle w:val="TableContents"/>
              <w:bidi w:val="0"/>
              <w:spacing w:before="0" w:after="283"/>
              <w:jc w:val="left"/>
              <w:rPr/>
            </w:pPr>
            <w:r>
              <w:rPr/>
              <w:t> </w:t>
            </w:r>
          </w:p>
        </w:tc>
        <w:tc>
          <w:tcPr>
            <w:tcW w:w="109" w:type="dxa"/>
            <w:tcBorders/>
            <w:shd w:fill="CCEEFF" w:val="clear"/>
            <w:vAlign w:val="center"/>
          </w:tcPr>
          <w:p>
            <w:pPr>
              <w:pStyle w:val="TableContents"/>
              <w:bidi w:val="0"/>
              <w:spacing w:before="0" w:after="283"/>
              <w:jc w:val="left"/>
              <w:rPr/>
            </w:pPr>
            <w:r>
              <w:rPr/>
              <w:t> </w:t>
            </w:r>
          </w:p>
        </w:tc>
        <w:tc>
          <w:tcPr>
            <w:tcW w:w="229"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086"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28,052</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7"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082"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33,631</w:t>
            </w:r>
          </w:p>
        </w:tc>
        <w:tc>
          <w:tcPr>
            <w:tcW w:w="132" w:type="dxa"/>
            <w:tcBorders/>
            <w:shd w:fill="CCEEFF" w:val="clear"/>
            <w:vAlign w:val="center"/>
          </w:tcPr>
          <w:p>
            <w:pPr>
              <w:pStyle w:val="TableContents"/>
              <w:bidi w:val="0"/>
              <w:spacing w:before="0" w:after="283"/>
              <w:jc w:val="left"/>
              <w:rPr/>
            </w:pPr>
            <w:r>
              <w:rPr/>
              <w:t> </w:t>
            </w:r>
          </w:p>
        </w:tc>
        <w:tc>
          <w:tcPr>
            <w:tcW w:w="99" w:type="dxa"/>
            <w:tcBorders/>
            <w:shd w:fill="CCEEFF" w:val="clear"/>
            <w:vAlign w:val="center"/>
          </w:tcPr>
          <w:p>
            <w:pPr>
              <w:pStyle w:val="TableContents"/>
              <w:bidi w:val="0"/>
              <w:spacing w:before="0" w:after="283"/>
              <w:jc w:val="left"/>
              <w:rPr/>
            </w:pPr>
            <w:r>
              <w:rPr/>
              <w:t> </w:t>
            </w:r>
          </w:p>
        </w:tc>
        <w:tc>
          <w:tcPr>
            <w:tcW w:w="207"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082"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26,304</w:t>
            </w:r>
          </w:p>
        </w:tc>
        <w:tc>
          <w:tcPr>
            <w:tcW w:w="90" w:type="dxa"/>
            <w:tcBorders/>
            <w:shd w:fill="CCEEFF" w:val="clear"/>
            <w:vAlign w:val="center"/>
          </w:tcPr>
          <w:p>
            <w:pPr>
              <w:pStyle w:val="TableContents"/>
              <w:bidi w:val="0"/>
              <w:spacing w:before="0" w:after="283"/>
              <w:jc w:val="left"/>
              <w:rPr/>
            </w:pPr>
            <w:r>
              <w:rPr/>
              <w:t> </w:t>
            </w:r>
          </w:p>
        </w:tc>
      </w:tr>
      <w:tr>
        <w:trPr/>
        <w:tc>
          <w:tcPr>
            <w:tcW w:w="4221"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29" w:type="dxa"/>
            <w:tcBorders/>
            <w:shd w:fill="FFFFFF" w:val="clear"/>
            <w:vAlign w:val="center"/>
          </w:tcPr>
          <w:p>
            <w:pPr>
              <w:pStyle w:val="TableContents"/>
              <w:bidi w:val="0"/>
              <w:spacing w:before="0" w:after="283"/>
              <w:jc w:val="left"/>
              <w:rPr/>
            </w:pPr>
            <w:r>
              <w:rPr/>
              <w:t> </w:t>
            </w:r>
          </w:p>
        </w:tc>
        <w:tc>
          <w:tcPr>
            <w:tcW w:w="108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09" w:type="dxa"/>
            <w:tcBorders/>
            <w:shd w:fill="FFFFFF" w:val="clear"/>
            <w:vAlign w:val="center"/>
          </w:tcPr>
          <w:p>
            <w:pPr>
              <w:pStyle w:val="TableContents"/>
              <w:bidi w:val="0"/>
              <w:spacing w:before="0" w:after="283"/>
              <w:jc w:val="left"/>
              <w:rPr/>
            </w:pPr>
            <w:r>
              <w:rPr/>
              <w:t> </w:t>
            </w:r>
          </w:p>
        </w:tc>
        <w:tc>
          <w:tcPr>
            <w:tcW w:w="229" w:type="dxa"/>
            <w:tcBorders/>
            <w:shd w:fill="FFFFFF" w:val="clear"/>
            <w:vAlign w:val="center"/>
          </w:tcPr>
          <w:p>
            <w:pPr>
              <w:pStyle w:val="TableContents"/>
              <w:bidi w:val="0"/>
              <w:spacing w:before="0" w:after="283"/>
              <w:jc w:val="left"/>
              <w:rPr/>
            </w:pPr>
            <w:r>
              <w:rPr/>
              <w:t> </w:t>
            </w:r>
          </w:p>
        </w:tc>
        <w:tc>
          <w:tcPr>
            <w:tcW w:w="1086"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7" w:type="dxa"/>
            <w:tcBorders/>
            <w:shd w:fill="FFFFFF" w:val="clear"/>
            <w:vAlign w:val="center"/>
          </w:tcPr>
          <w:p>
            <w:pPr>
              <w:pStyle w:val="TableContents"/>
              <w:bidi w:val="0"/>
              <w:spacing w:before="0" w:after="283"/>
              <w:jc w:val="left"/>
              <w:rPr/>
            </w:pPr>
            <w:r>
              <w:rPr/>
              <w:t> </w:t>
            </w:r>
          </w:p>
        </w:tc>
        <w:tc>
          <w:tcPr>
            <w:tcW w:w="1082" w:type="dxa"/>
            <w:tcBorders/>
            <w:shd w:fill="FFFFFF" w:val="clear"/>
            <w:vAlign w:val="center"/>
          </w:tcPr>
          <w:p>
            <w:pPr>
              <w:pStyle w:val="TableContents"/>
              <w:bidi w:val="0"/>
              <w:spacing w:before="0" w:after="283"/>
              <w:jc w:val="left"/>
              <w:rPr/>
            </w:pPr>
            <w:r>
              <w:rPr/>
              <w:t> </w:t>
            </w:r>
          </w:p>
        </w:tc>
        <w:tc>
          <w:tcPr>
            <w:tcW w:w="132" w:type="dxa"/>
            <w:tcBorders/>
            <w:shd w:fill="FFFFFF" w:val="clear"/>
            <w:vAlign w:val="center"/>
          </w:tcPr>
          <w:p>
            <w:pPr>
              <w:pStyle w:val="TableContents"/>
              <w:bidi w:val="0"/>
              <w:spacing w:before="0" w:after="283"/>
              <w:jc w:val="left"/>
              <w:rPr/>
            </w:pPr>
            <w:r>
              <w:rPr/>
              <w:t> </w:t>
            </w:r>
          </w:p>
        </w:tc>
        <w:tc>
          <w:tcPr>
            <w:tcW w:w="99" w:type="dxa"/>
            <w:tcBorders/>
            <w:shd w:fill="FFFFFF" w:val="clear"/>
            <w:vAlign w:val="center"/>
          </w:tcPr>
          <w:p>
            <w:pPr>
              <w:pStyle w:val="TableContents"/>
              <w:bidi w:val="0"/>
              <w:spacing w:before="0" w:after="283"/>
              <w:jc w:val="left"/>
              <w:rPr/>
            </w:pPr>
            <w:r>
              <w:rPr/>
              <w:t> </w:t>
            </w:r>
          </w:p>
        </w:tc>
        <w:tc>
          <w:tcPr>
            <w:tcW w:w="207" w:type="dxa"/>
            <w:tcBorders/>
            <w:shd w:fill="FFFFFF" w:val="clear"/>
            <w:vAlign w:val="center"/>
          </w:tcPr>
          <w:p>
            <w:pPr>
              <w:pStyle w:val="TableContents"/>
              <w:bidi w:val="0"/>
              <w:spacing w:before="0" w:after="283"/>
              <w:jc w:val="left"/>
              <w:rPr/>
            </w:pPr>
            <w:r>
              <w:rPr/>
              <w:t> </w:t>
            </w:r>
          </w:p>
        </w:tc>
        <w:tc>
          <w:tcPr>
            <w:tcW w:w="1082"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r>
      <w:tr>
        <w:trPr/>
        <w:tc>
          <w:tcPr>
            <w:tcW w:w="4221"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Basic and Diluted net loss per share</w:t>
            </w:r>
          </w:p>
        </w:tc>
        <w:tc>
          <w:tcPr>
            <w:tcW w:w="60" w:type="dxa"/>
            <w:tcBorders/>
            <w:shd w:fill="CCEEFF" w:val="clear"/>
            <w:vAlign w:val="center"/>
          </w:tcPr>
          <w:p>
            <w:pPr>
              <w:pStyle w:val="TableContents"/>
              <w:bidi w:val="0"/>
              <w:spacing w:before="0" w:after="283"/>
              <w:ind w:left="0" w:right="0" w:hanging="0"/>
              <w:jc w:val="left"/>
              <w:rPr/>
            </w:pPr>
            <w:r>
              <w:rPr/>
              <w:t> </w:t>
            </w:r>
          </w:p>
        </w:tc>
        <w:tc>
          <w:tcPr>
            <w:tcW w:w="229"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8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(0.10</w:t>
            </w:r>
          </w:p>
        </w:tc>
        <w:tc>
          <w:tcPr>
            <w:tcW w:w="146"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09" w:type="dxa"/>
            <w:tcBorders/>
            <w:shd w:fill="CCEEFF" w:val="clear"/>
            <w:vAlign w:val="center"/>
          </w:tcPr>
          <w:p>
            <w:pPr>
              <w:pStyle w:val="TableContents"/>
              <w:bidi w:val="0"/>
              <w:spacing w:before="0" w:after="283"/>
              <w:ind w:left="0" w:right="0" w:hanging="0"/>
              <w:jc w:val="left"/>
              <w:rPr/>
            </w:pPr>
            <w:r>
              <w:rPr/>
              <w:t> </w:t>
            </w:r>
          </w:p>
        </w:tc>
        <w:tc>
          <w:tcPr>
            <w:tcW w:w="229"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8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(0.08</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207"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82"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(0.37</w:t>
            </w:r>
          </w:p>
        </w:tc>
        <w:tc>
          <w:tcPr>
            <w:tcW w:w="132"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99" w:type="dxa"/>
            <w:tcBorders/>
            <w:shd w:fill="CCEEFF" w:val="clear"/>
            <w:vAlign w:val="center"/>
          </w:tcPr>
          <w:p>
            <w:pPr>
              <w:pStyle w:val="TableContents"/>
              <w:bidi w:val="0"/>
              <w:spacing w:before="0" w:after="283"/>
              <w:ind w:left="0" w:right="0" w:hanging="0"/>
              <w:jc w:val="left"/>
              <w:rPr/>
            </w:pPr>
            <w:r>
              <w:rPr/>
              <w:t> </w:t>
            </w:r>
          </w:p>
        </w:tc>
        <w:tc>
          <w:tcPr>
            <w:tcW w:w="207"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82"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(0.52</w:t>
            </w:r>
          </w:p>
        </w:tc>
        <w:tc>
          <w:tcPr>
            <w:tcW w:w="9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caps w:val="false"/>
          <w:smallCaps w:val="false"/>
          <w:sz w:val="20"/>
        </w:rPr>
        <w:t xml:space="preserve">For the </w:t>
      </w:r>
      <w:r>
        <w:rPr>
          <w:rStyle w:val="Emphasis"/>
          <w:rFonts w:ascii="Times New Roman" w:hAnsi="Times New Roman"/>
          <w:caps w:val="false"/>
          <w:smallCaps w:val="false"/>
          <w:sz w:val="20"/>
        </w:rPr>
        <w:t>three</w:t>
      </w:r>
      <w:r>
        <w:rPr>
          <w:rFonts w:ascii="Times New Roman" w:hAnsi="Times New Roman"/>
          <w:caps w:val="false"/>
          <w:smallCaps w:val="false"/>
          <w:sz w:val="20"/>
        </w:rPr>
        <w:t xml:space="preserve"> and </w:t>
      </w:r>
      <w:r>
        <w:rPr>
          <w:rStyle w:val="Emphasis"/>
          <w:rFonts w:ascii="Times New Roman" w:hAnsi="Times New Roman"/>
          <w:caps w:val="false"/>
          <w:smallCaps w:val="false"/>
          <w:sz w:val="20"/>
        </w:rPr>
        <w:t>nine</w:t>
      </w:r>
      <w:r>
        <w:rPr>
          <w:rFonts w:ascii="Times New Roman" w:hAnsi="Times New Roman"/>
          <w:caps w:val="false"/>
          <w:smallCaps w:val="false"/>
          <w:sz w:val="20"/>
        </w:rPr>
        <w:t xml:space="preserve"> months ended </w:t>
      </w:r>
      <w:r>
        <w:rPr>
          <w:rStyle w:val="Emphasis"/>
          <w:rFonts w:ascii="Times New Roman" w:hAnsi="Times New Roman"/>
          <w:caps w:val="false"/>
          <w:smallCaps w:val="false"/>
          <w:sz w:val="20"/>
        </w:rPr>
        <w:t xml:space="preserve">September 30, 2025 </w:t>
      </w:r>
      <w:r>
        <w:rPr>
          <w:rFonts w:ascii="Times New Roman" w:hAnsi="Times New Roman"/>
          <w:caps w:val="false"/>
          <w:smallCaps w:val="false"/>
          <w:sz w:val="20"/>
        </w:rPr>
        <w:t xml:space="preserve">and </w:t>
      </w:r>
      <w:r>
        <w:rPr>
          <w:rStyle w:val="Emphasis"/>
          <w:rFonts w:ascii="Times New Roman" w:hAnsi="Times New Roman"/>
          <w:caps w:val="false"/>
          <w:smallCaps w:val="false"/>
          <w:sz w:val="20"/>
        </w:rPr>
        <w:t>2024</w:t>
      </w:r>
      <w:r>
        <w:rPr>
          <w:rFonts w:ascii="Times New Roman" w:hAnsi="Times New Roman"/>
          <w:caps w:val="false"/>
          <w:smallCaps w:val="false"/>
          <w:sz w:val="20"/>
        </w:rPr>
        <w:t>, potentially dilutive securities excluded from the calculation of weighted average shares because they were anti-dilutive were as follows:</w:t>
      </w:r>
    </w:p>
    <w:p>
      <w:pPr>
        <w:pStyle w:val="TextBody"/>
        <w:bidi w:val="0"/>
        <w:spacing w:before="0" w:after="0"/>
        <w:ind w:left="0" w:right="0" w:hanging="0"/>
        <w:jc w:val="both"/>
        <w:rPr>
          <w:caps w:val="false"/>
          <w:smallCaps w:val="false"/>
        </w:rPr>
      </w:pPr>
      <w:r>
        <w:rPr>
          <w:caps w:val="false"/>
          <w:smallCaps w:val="false"/>
        </w:rPr>
        <w:t> </w:t>
      </w:r>
    </w:p>
    <w:tbl>
      <w:tblPr>
        <w:tblW w:w="8906" w:type="dxa"/>
        <w:jc w:val="left"/>
        <w:tblInd w:w="0" w:type="dxa"/>
        <w:tblLayout w:type="fixed"/>
        <w:tblCellMar>
          <w:top w:w="0" w:type="dxa"/>
          <w:left w:w="0" w:type="dxa"/>
          <w:bottom w:w="0" w:type="dxa"/>
          <w:right w:w="0" w:type="dxa"/>
        </w:tblCellMar>
      </w:tblPr>
      <w:tblGrid>
        <w:gridCol w:w="2810"/>
        <w:gridCol w:w="60"/>
        <w:gridCol w:w="147"/>
        <w:gridCol w:w="1192"/>
        <w:gridCol w:w="147"/>
        <w:gridCol w:w="147"/>
        <w:gridCol w:w="147"/>
        <w:gridCol w:w="1192"/>
        <w:gridCol w:w="60"/>
        <w:gridCol w:w="60"/>
        <w:gridCol w:w="143"/>
        <w:gridCol w:w="1156"/>
        <w:gridCol w:w="143"/>
        <w:gridCol w:w="143"/>
        <w:gridCol w:w="143"/>
        <w:gridCol w:w="1156"/>
        <w:gridCol w:w="60"/>
      </w:tblGrid>
      <w:tr>
        <w:trPr/>
        <w:tc>
          <w:tcPr>
            <w:tcW w:w="281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972"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Three Months Ended September 30,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884"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Nine Months Ended September 30,</w:t>
            </w:r>
          </w:p>
        </w:tc>
        <w:tc>
          <w:tcPr>
            <w:tcW w:w="60" w:type="dxa"/>
            <w:tcBorders/>
            <w:shd w:fill="FFFFFF" w:val="clear"/>
            <w:vAlign w:val="center"/>
          </w:tcPr>
          <w:p>
            <w:pPr>
              <w:pStyle w:val="TableContents"/>
              <w:bidi w:val="0"/>
              <w:spacing w:before="0" w:after="283"/>
              <w:jc w:val="left"/>
              <w:rPr/>
            </w:pPr>
            <w:r>
              <w:rPr/>
              <w:t> </w:t>
            </w:r>
          </w:p>
        </w:tc>
      </w:tr>
      <w:tr>
        <w:trPr/>
        <w:tc>
          <w:tcPr>
            <w:tcW w:w="281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339"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2025</w:t>
            </w:r>
          </w:p>
        </w:tc>
        <w:tc>
          <w:tcPr>
            <w:tcW w:w="147" w:type="dxa"/>
            <w:tcBorders/>
            <w:shd w:fill="FFFFFF" w:val="clear"/>
            <w:vAlign w:val="center"/>
          </w:tcPr>
          <w:p>
            <w:pPr>
              <w:pStyle w:val="TableContents"/>
              <w:bidi w:val="0"/>
              <w:spacing w:before="0" w:after="283"/>
              <w:jc w:val="left"/>
              <w:rPr/>
            </w:pPr>
            <w:r>
              <w:rPr/>
              <w:t> </w:t>
            </w:r>
          </w:p>
        </w:tc>
        <w:tc>
          <w:tcPr>
            <w:tcW w:w="147" w:type="dxa"/>
            <w:tcBorders/>
            <w:shd w:fill="FFFFFF" w:val="clear"/>
            <w:vAlign w:val="center"/>
          </w:tcPr>
          <w:p>
            <w:pPr>
              <w:pStyle w:val="TableContents"/>
              <w:bidi w:val="0"/>
              <w:spacing w:before="0" w:after="283"/>
              <w:ind w:left="0" w:right="0" w:hanging="0"/>
              <w:jc w:val="left"/>
              <w:rPr/>
            </w:pPr>
            <w:r>
              <w:rPr/>
              <w:t> </w:t>
            </w:r>
          </w:p>
        </w:tc>
        <w:tc>
          <w:tcPr>
            <w:tcW w:w="1339"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2024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99"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2025</w:t>
            </w:r>
          </w:p>
        </w:tc>
        <w:tc>
          <w:tcPr>
            <w:tcW w:w="143" w:type="dxa"/>
            <w:tcBorders/>
            <w:shd w:fill="FFFFFF" w:val="clear"/>
            <w:vAlign w:val="center"/>
          </w:tcPr>
          <w:p>
            <w:pPr>
              <w:pStyle w:val="TableContents"/>
              <w:bidi w:val="0"/>
              <w:spacing w:before="0" w:after="283"/>
              <w:jc w:val="left"/>
              <w:rPr/>
            </w:pPr>
            <w:r>
              <w:rPr/>
              <w:t> </w:t>
            </w:r>
          </w:p>
        </w:tc>
        <w:tc>
          <w:tcPr>
            <w:tcW w:w="143" w:type="dxa"/>
            <w:tcBorders/>
            <w:shd w:fill="FFFFFF" w:val="clear"/>
            <w:vAlign w:val="center"/>
          </w:tcPr>
          <w:p>
            <w:pPr>
              <w:pStyle w:val="TableContents"/>
              <w:bidi w:val="0"/>
              <w:spacing w:before="0" w:after="283"/>
              <w:ind w:left="0" w:right="0" w:hanging="0"/>
              <w:jc w:val="left"/>
              <w:rPr/>
            </w:pPr>
            <w:r>
              <w:rPr/>
              <w:t> </w:t>
            </w:r>
          </w:p>
        </w:tc>
        <w:tc>
          <w:tcPr>
            <w:tcW w:w="1299"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2024</w:t>
            </w:r>
          </w:p>
        </w:tc>
        <w:tc>
          <w:tcPr>
            <w:tcW w:w="60" w:type="dxa"/>
            <w:tcBorders/>
            <w:shd w:fill="FFFFFF" w:val="clear"/>
            <w:vAlign w:val="center"/>
          </w:tcPr>
          <w:p>
            <w:pPr>
              <w:pStyle w:val="TableContents"/>
              <w:bidi w:val="0"/>
              <w:spacing w:before="0" w:after="283"/>
              <w:jc w:val="left"/>
              <w:rPr/>
            </w:pPr>
            <w:r>
              <w:rPr/>
              <w:t> </w:t>
            </w:r>
          </w:p>
        </w:tc>
      </w:tr>
      <w:tr>
        <w:trPr/>
        <w:tc>
          <w:tcPr>
            <w:tcW w:w="281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5976" w:type="dxa"/>
            <w:gridSpan w:val="14"/>
            <w:tcBorders/>
            <w:shd w:fill="FFFFFF" w:val="cle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(in thousands)</w:t>
            </w:r>
          </w:p>
        </w:tc>
        <w:tc>
          <w:tcPr>
            <w:tcW w:w="60" w:type="dxa"/>
            <w:tcBorders/>
            <w:shd w:fill="FFFFFF" w:val="clear"/>
            <w:vAlign w:val="center"/>
          </w:tcPr>
          <w:p>
            <w:pPr>
              <w:pStyle w:val="TableContents"/>
              <w:bidi w:val="0"/>
              <w:spacing w:before="0" w:after="283"/>
              <w:ind w:left="0" w:right="0" w:hanging="0"/>
              <w:jc w:val="left"/>
              <w:rPr/>
            </w:pPr>
            <w:r>
              <w:rPr/>
              <w:t> </w:t>
            </w:r>
          </w:p>
        </w:tc>
      </w:tr>
      <w:tr>
        <w:trPr/>
        <w:tc>
          <w:tcPr>
            <w:tcW w:w="281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Stock options</w:t>
            </w:r>
          </w:p>
        </w:tc>
        <w:tc>
          <w:tcPr>
            <w:tcW w:w="60" w:type="dxa"/>
            <w:tcBorders/>
            <w:shd w:fill="CCEEFF" w:val="clear"/>
            <w:vAlign w:val="center"/>
          </w:tcPr>
          <w:p>
            <w:pPr>
              <w:pStyle w:val="TableContents"/>
              <w:bidi w:val="0"/>
              <w:spacing w:before="0" w:after="283"/>
              <w:jc w:val="left"/>
              <w:rPr/>
            </w:pPr>
            <w:r>
              <w:rPr/>
              <w:t> </w:t>
            </w:r>
          </w:p>
        </w:tc>
        <w:tc>
          <w:tcPr>
            <w:tcW w:w="147" w:type="dxa"/>
            <w:tcBorders/>
            <w:shd w:fill="CCEEFF" w:val="clear"/>
            <w:vAlign w:val="center"/>
          </w:tcPr>
          <w:p>
            <w:pPr>
              <w:pStyle w:val="TableContents"/>
              <w:bidi w:val="0"/>
              <w:spacing w:before="0" w:after="283"/>
              <w:ind w:left="0" w:right="0" w:hanging="0"/>
              <w:jc w:val="left"/>
              <w:rPr/>
            </w:pPr>
            <w:r>
              <w:rPr/>
              <w:t> </w:t>
            </w:r>
          </w:p>
        </w:tc>
        <w:tc>
          <w:tcPr>
            <w:tcW w:w="1192" w:type="dxa"/>
            <w:tcBorders/>
            <w:shd w:fill="CCEEFF" w:val="clear"/>
            <w:vAlign w:val="center"/>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17</w:t>
            </w:r>
          </w:p>
        </w:tc>
        <w:tc>
          <w:tcPr>
            <w:tcW w:w="147" w:type="dxa"/>
            <w:tcBorders/>
            <w:shd w:fill="CCEEFF" w:val="clear"/>
            <w:vAlign w:val="center"/>
          </w:tcPr>
          <w:p>
            <w:pPr>
              <w:pStyle w:val="TableContents"/>
              <w:bidi w:val="0"/>
              <w:spacing w:before="0" w:after="283"/>
              <w:jc w:val="left"/>
              <w:rPr/>
            </w:pPr>
            <w:r>
              <w:rPr/>
              <w:t> </w:t>
            </w:r>
          </w:p>
        </w:tc>
        <w:tc>
          <w:tcPr>
            <w:tcW w:w="147" w:type="dxa"/>
            <w:tcBorders/>
            <w:shd w:fill="CCEEFF" w:val="clear"/>
            <w:vAlign w:val="center"/>
          </w:tcPr>
          <w:p>
            <w:pPr>
              <w:pStyle w:val="TableContents"/>
              <w:bidi w:val="0"/>
              <w:spacing w:before="0" w:after="283"/>
              <w:jc w:val="left"/>
              <w:rPr/>
            </w:pPr>
            <w:r>
              <w:rPr/>
              <w:t> </w:t>
            </w:r>
          </w:p>
        </w:tc>
        <w:tc>
          <w:tcPr>
            <w:tcW w:w="147" w:type="dxa"/>
            <w:tcBorders/>
            <w:shd w:fill="CCEEFF" w:val="clear"/>
            <w:vAlign w:val="center"/>
          </w:tcPr>
          <w:p>
            <w:pPr>
              <w:pStyle w:val="TableContents"/>
              <w:bidi w:val="0"/>
              <w:spacing w:before="0" w:after="283"/>
              <w:ind w:left="0" w:right="0" w:hanging="0"/>
              <w:jc w:val="left"/>
              <w:rPr/>
            </w:pPr>
            <w:r>
              <w:rPr/>
              <w:t> </w:t>
            </w:r>
          </w:p>
        </w:tc>
        <w:tc>
          <w:tcPr>
            <w:tcW w:w="1192" w:type="dxa"/>
            <w:tcBorders/>
            <w:shd w:fill="CCEEFF" w:val="clear"/>
            <w:vAlign w:val="center"/>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22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3" w:type="dxa"/>
            <w:tcBorders/>
            <w:shd w:fill="CCEEFF" w:val="clear"/>
            <w:vAlign w:val="center"/>
          </w:tcPr>
          <w:p>
            <w:pPr>
              <w:pStyle w:val="TableContents"/>
              <w:bidi w:val="0"/>
              <w:spacing w:before="0" w:after="283"/>
              <w:ind w:left="0" w:right="0" w:hanging="0"/>
              <w:jc w:val="left"/>
              <w:rPr/>
            </w:pPr>
            <w:r>
              <w:rPr/>
              <w:t> </w:t>
            </w:r>
          </w:p>
        </w:tc>
        <w:tc>
          <w:tcPr>
            <w:tcW w:w="1156" w:type="dxa"/>
            <w:tcBorders/>
            <w:shd w:fill="CCEEFF" w:val="clear"/>
            <w:vAlign w:val="center"/>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17</w:t>
            </w:r>
          </w:p>
        </w:tc>
        <w:tc>
          <w:tcPr>
            <w:tcW w:w="143" w:type="dxa"/>
            <w:tcBorders/>
            <w:shd w:fill="CCEEFF" w:val="clear"/>
            <w:vAlign w:val="center"/>
          </w:tcPr>
          <w:p>
            <w:pPr>
              <w:pStyle w:val="TableContents"/>
              <w:bidi w:val="0"/>
              <w:spacing w:before="0" w:after="283"/>
              <w:jc w:val="left"/>
              <w:rPr/>
            </w:pPr>
            <w:r>
              <w:rPr/>
              <w:t> </w:t>
            </w:r>
          </w:p>
        </w:tc>
        <w:tc>
          <w:tcPr>
            <w:tcW w:w="143" w:type="dxa"/>
            <w:tcBorders/>
            <w:shd w:fill="CCEEFF" w:val="clear"/>
            <w:vAlign w:val="center"/>
          </w:tcPr>
          <w:p>
            <w:pPr>
              <w:pStyle w:val="TableContents"/>
              <w:bidi w:val="0"/>
              <w:spacing w:before="0" w:after="283"/>
              <w:jc w:val="left"/>
              <w:rPr/>
            </w:pPr>
            <w:r>
              <w:rPr/>
              <w:t> </w:t>
            </w:r>
          </w:p>
        </w:tc>
        <w:tc>
          <w:tcPr>
            <w:tcW w:w="143" w:type="dxa"/>
            <w:tcBorders/>
            <w:shd w:fill="CCEEFF" w:val="clear"/>
            <w:vAlign w:val="center"/>
          </w:tcPr>
          <w:p>
            <w:pPr>
              <w:pStyle w:val="TableContents"/>
              <w:bidi w:val="0"/>
              <w:spacing w:before="0" w:after="283"/>
              <w:ind w:left="0" w:right="0" w:hanging="0"/>
              <w:jc w:val="left"/>
              <w:rPr/>
            </w:pPr>
            <w:r>
              <w:rPr/>
              <w:t> </w:t>
            </w:r>
          </w:p>
        </w:tc>
        <w:tc>
          <w:tcPr>
            <w:tcW w:w="1156" w:type="dxa"/>
            <w:tcBorders/>
            <w:shd w:fill="CCEEFF" w:val="clear"/>
            <w:vAlign w:val="center"/>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22</w:t>
            </w:r>
          </w:p>
        </w:tc>
        <w:tc>
          <w:tcPr>
            <w:tcW w:w="60" w:type="dxa"/>
            <w:tcBorders/>
            <w:shd w:fill="CCEEFF" w:val="clear"/>
            <w:vAlign w:val="center"/>
          </w:tcPr>
          <w:p>
            <w:pPr>
              <w:pStyle w:val="TableContents"/>
              <w:bidi w:val="0"/>
              <w:spacing w:before="0" w:after="283"/>
              <w:ind w:left="0" w:right="0" w:hanging="0"/>
              <w:jc w:val="left"/>
              <w:rPr/>
            </w:pPr>
            <w:r>
              <w:rPr/>
              <w:t> </w:t>
            </w:r>
          </w:p>
        </w:tc>
      </w:tr>
      <w:tr>
        <w:trPr/>
        <w:tc>
          <w:tcPr>
            <w:tcW w:w="2810" w:type="dxa"/>
            <w:tcBorders/>
            <w:shd w:fill="FFFF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Unvested shares of restricted stock</w:t>
            </w:r>
          </w:p>
        </w:tc>
        <w:tc>
          <w:tcPr>
            <w:tcW w:w="60" w:type="dxa"/>
            <w:tcBorders/>
            <w:shd w:fill="FFFFFF" w:val="clear"/>
            <w:vAlign w:val="center"/>
          </w:tcPr>
          <w:p>
            <w:pPr>
              <w:pStyle w:val="TableContents"/>
              <w:bidi w:val="0"/>
              <w:spacing w:before="0" w:after="0"/>
              <w:ind w:left="0" w:right="0" w:hanging="0"/>
              <w:jc w:val="left"/>
              <w:rPr/>
            </w:pPr>
            <w:r>
              <w:rPr/>
              <w:t> </w:t>
            </w:r>
          </w:p>
        </w:tc>
        <w:tc>
          <w:tcPr>
            <w:tcW w:w="147"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1192"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1,491</w:t>
            </w:r>
          </w:p>
        </w:tc>
        <w:tc>
          <w:tcPr>
            <w:tcW w:w="147" w:type="dxa"/>
            <w:tcBorders/>
            <w:shd w:fill="FFFFFF" w:val="clear"/>
            <w:vAlign w:val="center"/>
          </w:tcPr>
          <w:p>
            <w:pPr>
              <w:pStyle w:val="TableContents"/>
              <w:bidi w:val="0"/>
              <w:spacing w:before="0" w:after="0"/>
              <w:ind w:left="0" w:right="0" w:hanging="0"/>
              <w:jc w:val="left"/>
              <w:rPr/>
            </w:pPr>
            <w:r>
              <w:rPr/>
              <w:t> </w:t>
            </w:r>
          </w:p>
        </w:tc>
        <w:tc>
          <w:tcPr>
            <w:tcW w:w="147" w:type="dxa"/>
            <w:tcBorders/>
            <w:shd w:fill="FFFFFF" w:val="clear"/>
            <w:vAlign w:val="center"/>
          </w:tcPr>
          <w:p>
            <w:pPr>
              <w:pStyle w:val="TableContents"/>
              <w:bidi w:val="0"/>
              <w:spacing w:before="0" w:after="0"/>
              <w:ind w:left="0" w:right="0" w:hanging="0"/>
              <w:jc w:val="left"/>
              <w:rPr/>
            </w:pPr>
            <w:r>
              <w:rPr/>
              <w:t> </w:t>
            </w:r>
          </w:p>
        </w:tc>
        <w:tc>
          <w:tcPr>
            <w:tcW w:w="147"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1192"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1,348</w:t>
            </w:r>
          </w:p>
        </w:tc>
        <w:tc>
          <w:tcPr>
            <w:tcW w:w="6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43"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1156"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1,491</w:t>
            </w:r>
          </w:p>
        </w:tc>
        <w:tc>
          <w:tcPr>
            <w:tcW w:w="143" w:type="dxa"/>
            <w:tcBorders/>
            <w:shd w:fill="FFFFFF" w:val="clear"/>
            <w:vAlign w:val="center"/>
          </w:tcPr>
          <w:p>
            <w:pPr>
              <w:pStyle w:val="TableContents"/>
              <w:bidi w:val="0"/>
              <w:spacing w:before="0" w:after="0"/>
              <w:ind w:left="0" w:right="0" w:hanging="0"/>
              <w:jc w:val="left"/>
              <w:rPr/>
            </w:pPr>
            <w:r>
              <w:rPr/>
              <w:t> </w:t>
            </w:r>
          </w:p>
        </w:tc>
        <w:tc>
          <w:tcPr>
            <w:tcW w:w="143" w:type="dxa"/>
            <w:tcBorders/>
            <w:shd w:fill="FFFFFF" w:val="clear"/>
            <w:vAlign w:val="center"/>
          </w:tcPr>
          <w:p>
            <w:pPr>
              <w:pStyle w:val="TableContents"/>
              <w:bidi w:val="0"/>
              <w:spacing w:before="0" w:after="0"/>
              <w:ind w:left="0" w:right="0" w:hanging="0"/>
              <w:jc w:val="left"/>
              <w:rPr/>
            </w:pPr>
            <w:r>
              <w:rPr/>
              <w:t> </w:t>
            </w:r>
          </w:p>
        </w:tc>
        <w:tc>
          <w:tcPr>
            <w:tcW w:w="143"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1156"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1,348</w:t>
            </w:r>
          </w:p>
        </w:tc>
        <w:tc>
          <w:tcPr>
            <w:tcW w:w="60" w:type="dxa"/>
            <w:tcBorders/>
            <w:shd w:fill="FFFFFF" w:val="clear"/>
            <w:vAlign w:val="center"/>
          </w:tcPr>
          <w:p>
            <w:pPr>
              <w:pStyle w:val="TableContents"/>
              <w:bidi w:val="0"/>
              <w:spacing w:before="0" w:after="0"/>
              <w:jc w:val="left"/>
              <w:rPr/>
            </w:pPr>
            <w:r>
              <w:rPr/>
              <w:t> </w:t>
            </w:r>
          </w:p>
        </w:tc>
      </w:tr>
      <w:tr>
        <w:trPr/>
        <w:tc>
          <w:tcPr>
            <w:tcW w:w="2810"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w:t>
            </w:r>
          </w:p>
        </w:tc>
        <w:tc>
          <w:tcPr>
            <w:tcW w:w="60" w:type="dxa"/>
            <w:tcBorders/>
            <w:shd w:fill="CCEEFF" w:val="clear"/>
            <w:vAlign w:val="center"/>
          </w:tcPr>
          <w:p>
            <w:pPr>
              <w:pStyle w:val="TableContents"/>
              <w:bidi w:val="0"/>
              <w:spacing w:before="0" w:after="283"/>
              <w:jc w:val="left"/>
              <w:rPr/>
            </w:pPr>
            <w:r>
              <w:rPr/>
              <w:t> </w:t>
            </w:r>
          </w:p>
        </w:tc>
        <w:tc>
          <w:tcPr>
            <w:tcW w:w="147"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192"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1,508</w:t>
            </w:r>
          </w:p>
        </w:tc>
        <w:tc>
          <w:tcPr>
            <w:tcW w:w="147" w:type="dxa"/>
            <w:tcBorders/>
            <w:shd w:fill="CCEEFF" w:val="clear"/>
            <w:vAlign w:val="center"/>
          </w:tcPr>
          <w:p>
            <w:pPr>
              <w:pStyle w:val="TableContents"/>
              <w:bidi w:val="0"/>
              <w:spacing w:before="0" w:after="283"/>
              <w:jc w:val="left"/>
              <w:rPr/>
            </w:pPr>
            <w:r>
              <w:rPr/>
              <w:t> </w:t>
            </w:r>
          </w:p>
        </w:tc>
        <w:tc>
          <w:tcPr>
            <w:tcW w:w="147" w:type="dxa"/>
            <w:tcBorders/>
            <w:shd w:fill="CCEEFF" w:val="clear"/>
            <w:vAlign w:val="center"/>
          </w:tcPr>
          <w:p>
            <w:pPr>
              <w:pStyle w:val="TableContents"/>
              <w:bidi w:val="0"/>
              <w:spacing w:before="0" w:after="283"/>
              <w:jc w:val="left"/>
              <w:rPr/>
            </w:pPr>
            <w:r>
              <w:rPr/>
              <w:t> </w:t>
            </w:r>
          </w:p>
        </w:tc>
        <w:tc>
          <w:tcPr>
            <w:tcW w:w="147"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192"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1,370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3"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156"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1,508</w:t>
            </w:r>
          </w:p>
        </w:tc>
        <w:tc>
          <w:tcPr>
            <w:tcW w:w="143" w:type="dxa"/>
            <w:tcBorders/>
            <w:shd w:fill="CCEEFF" w:val="clear"/>
            <w:vAlign w:val="center"/>
          </w:tcPr>
          <w:p>
            <w:pPr>
              <w:pStyle w:val="TableContents"/>
              <w:bidi w:val="0"/>
              <w:spacing w:before="0" w:after="283"/>
              <w:jc w:val="left"/>
              <w:rPr/>
            </w:pPr>
            <w:r>
              <w:rPr/>
              <w:t> </w:t>
            </w:r>
          </w:p>
        </w:tc>
        <w:tc>
          <w:tcPr>
            <w:tcW w:w="143" w:type="dxa"/>
            <w:tcBorders/>
            <w:shd w:fill="CCEEFF" w:val="clear"/>
            <w:vAlign w:val="center"/>
          </w:tcPr>
          <w:p>
            <w:pPr>
              <w:pStyle w:val="TableContents"/>
              <w:bidi w:val="0"/>
              <w:spacing w:before="0" w:after="283"/>
              <w:jc w:val="left"/>
              <w:rPr/>
            </w:pPr>
            <w:r>
              <w:rPr/>
              <w:t> </w:t>
            </w:r>
          </w:p>
        </w:tc>
        <w:tc>
          <w:tcPr>
            <w:tcW w:w="143"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156"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1,370</w:t>
            </w:r>
          </w:p>
        </w:tc>
        <w:tc>
          <w:tcPr>
            <w:tcW w:w="6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283"/>
        <w:jc w:val="left"/>
        <w:rPr/>
      </w:pPr>
      <w:r>
        <w:rPr/>
        <w:t xml:space="preserve">  </w:t>
      </w:r>
    </w:p>
    <w:p>
      <w:pPr>
        <w:pStyle w:val="TextBody"/>
        <w:bidi w:val="0"/>
        <w:spacing w:before="0" w:after="0"/>
        <w:ind w:left="0" w:right="0" w:hanging="0"/>
        <w:jc w:val="both"/>
        <w:rPr/>
      </w:pPr>
      <w:r>
        <w:rPr>
          <w:rStyle w:val="Emphasis"/>
          <w:rFonts w:ascii="Times New Roman" w:hAnsi="Times New Roman"/>
          <w:b/>
          <w:caps w:val="false"/>
          <w:smallCaps w:val="false"/>
          <w:sz w:val="20"/>
        </w:rPr>
        <w:t>13.</w:t>
      </w:r>
      <w:r>
        <w:rPr>
          <w:rFonts w:ascii="Times New Roman" w:hAnsi="Times New Roman"/>
          <w:b/>
          <w:caps w:val="false"/>
          <w:smallCaps w:val="false"/>
          <w:sz w:val="20"/>
        </w:rPr>
        <w:t xml:space="preserve"> FAIR VALUE MEASUREMENTS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caps w:val="false"/>
          <w:smallCaps w:val="false"/>
          <w:sz w:val="20"/>
        </w:rPr>
        <w:t xml:space="preserve">The Company’s fair value measurements are estimated pursuant to a fair value hierarchy that requires us to maximize the use of observable inputs and minimize the use of unobservable inputs when measuring fair value. The valuation hierarchy is based upon the transparency of inputs to the valuation of an asset or liability as of the measurement date, giving highest priority to quoted prices in active markets (Level </w:t>
      </w:r>
      <w:r>
        <w:rPr>
          <w:rStyle w:val="Emphasis"/>
          <w:rFonts w:ascii="Times New Roman" w:hAnsi="Times New Roman"/>
          <w:caps w:val="false"/>
          <w:smallCaps w:val="false"/>
          <w:sz w:val="20"/>
        </w:rPr>
        <w:t>1</w:t>
      </w:r>
      <w:r>
        <w:rPr>
          <w:rFonts w:ascii="Times New Roman" w:hAnsi="Times New Roman"/>
          <w:caps w:val="false"/>
          <w:smallCaps w:val="false"/>
          <w:sz w:val="20"/>
        </w:rPr>
        <w:t xml:space="preserve">) and the lowest priority to unobservable data (Level </w:t>
      </w:r>
      <w:r>
        <w:rPr>
          <w:rStyle w:val="Emphasis"/>
          <w:rFonts w:ascii="Times New Roman" w:hAnsi="Times New Roman"/>
          <w:caps w:val="false"/>
          <w:smallCaps w:val="false"/>
          <w:sz w:val="20"/>
        </w:rPr>
        <w:t>3</w:t>
      </w:r>
      <w:r>
        <w:rPr>
          <w:rFonts w:ascii="Times New Roman" w:hAnsi="Times New Roman"/>
          <w:caps w:val="false"/>
          <w:smallCaps w:val="false"/>
          <w:sz w:val="20"/>
        </w:rPr>
        <w:t xml:space="preserve">). In some cases, the inputs used to measure fair value might fall in different levels of the fair value hierarchy. The lowest level input that is significant to a fair value measurement in its entirety determines the applicable level in the fair value hierarchy. Assessing the significance of a particular input to the fair value measurement in its entirety requires judgment, considering factors specific to the asset or liability, and </w:t>
      </w:r>
      <w:r>
        <w:rPr>
          <w:rStyle w:val="Emphasis"/>
          <w:rFonts w:ascii="Times New Roman" w:hAnsi="Times New Roman"/>
          <w:caps w:val="false"/>
          <w:smallCaps w:val="false"/>
          <w:sz w:val="20"/>
        </w:rPr>
        <w:t xml:space="preserve">may </w:t>
      </w:r>
      <w:r>
        <w:rPr>
          <w:rFonts w:ascii="Times New Roman" w:hAnsi="Times New Roman"/>
          <w:caps w:val="false"/>
          <w:smallCaps w:val="false"/>
          <w:sz w:val="20"/>
        </w:rPr>
        <w:t xml:space="preserve">affect the valuation of the assets and liabilities and their placement within the hierarchy level. The </w:t>
      </w:r>
      <w:r>
        <w:rPr>
          <w:rStyle w:val="Emphasis"/>
          <w:rFonts w:ascii="Times New Roman" w:hAnsi="Times New Roman"/>
          <w:caps w:val="false"/>
          <w:smallCaps w:val="false"/>
          <w:sz w:val="20"/>
        </w:rPr>
        <w:t>three</w:t>
      </w:r>
      <w:r>
        <w:rPr>
          <w:rFonts w:ascii="Times New Roman" w:hAnsi="Times New Roman"/>
          <w:caps w:val="false"/>
          <w:smallCaps w:val="false"/>
          <w:sz w:val="20"/>
        </w:rPr>
        <w:t xml:space="preserve"> levels of inputs that </w:t>
      </w:r>
      <w:r>
        <w:rPr>
          <w:rStyle w:val="Emphasis"/>
          <w:rFonts w:ascii="Times New Roman" w:hAnsi="Times New Roman"/>
          <w:caps w:val="false"/>
          <w:smallCaps w:val="false"/>
          <w:sz w:val="20"/>
        </w:rPr>
        <w:t xml:space="preserve">may </w:t>
      </w:r>
      <w:r>
        <w:rPr>
          <w:rFonts w:ascii="Times New Roman" w:hAnsi="Times New Roman"/>
          <w:caps w:val="false"/>
          <w:smallCaps w:val="false"/>
          <w:sz w:val="20"/>
        </w:rPr>
        <w:t>be used to measure fair value are defined as: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caps w:val="false"/>
          <w:smallCaps w:val="false"/>
          <w:sz w:val="20"/>
        </w:rPr>
        <w:t xml:space="preserve">Level </w:t>
      </w:r>
      <w:r>
        <w:rPr>
          <w:rStyle w:val="Emphasis"/>
          <w:rFonts w:ascii="Times New Roman" w:hAnsi="Times New Roman"/>
          <w:caps w:val="false"/>
          <w:smallCaps w:val="false"/>
          <w:sz w:val="20"/>
        </w:rPr>
        <w:t>1</w:t>
      </w:r>
      <w:r>
        <w:rPr>
          <w:rFonts w:ascii="Times New Roman" w:hAnsi="Times New Roman"/>
          <w:caps w:val="false"/>
          <w:smallCaps w:val="false"/>
          <w:sz w:val="20"/>
        </w:rPr>
        <w:t xml:space="preserve"> - Quoted prices for identical assets and liabilities traded in active markets.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caps w:val="false"/>
          <w:smallCaps w:val="false"/>
          <w:sz w:val="20"/>
        </w:rPr>
        <w:t xml:space="preserve">Level </w:t>
      </w:r>
      <w:r>
        <w:rPr>
          <w:rStyle w:val="Emphasis"/>
          <w:rFonts w:ascii="Times New Roman" w:hAnsi="Times New Roman"/>
          <w:caps w:val="false"/>
          <w:smallCaps w:val="false"/>
          <w:sz w:val="20"/>
        </w:rPr>
        <w:t>2</w:t>
      </w:r>
      <w:r>
        <w:rPr>
          <w:rFonts w:ascii="Times New Roman" w:hAnsi="Times New Roman"/>
          <w:caps w:val="false"/>
          <w:smallCaps w:val="false"/>
          <w:sz w:val="20"/>
        </w:rPr>
        <w:t xml:space="preserve"> - Observable inputs other than Level </w:t>
      </w:r>
      <w:r>
        <w:rPr>
          <w:rStyle w:val="Emphasis"/>
          <w:rFonts w:ascii="Times New Roman" w:hAnsi="Times New Roman"/>
          <w:caps w:val="false"/>
          <w:smallCaps w:val="false"/>
          <w:sz w:val="20"/>
        </w:rPr>
        <w:t>1</w:t>
      </w:r>
      <w:r>
        <w:rPr>
          <w:rFonts w:ascii="Times New Roman" w:hAnsi="Times New Roman"/>
          <w:caps w:val="false"/>
          <w:smallCaps w:val="false"/>
          <w:sz w:val="20"/>
        </w:rPr>
        <w:t xml:space="preserve"> that are directly or indirectly observable for the asset or liability, including quoted prices for similar assets or liabilities in active markets, quoted prices for identical or similar assets or liabilities in active markets, or other observable inputs that can be corroborated by observable market data.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caps w:val="false"/>
          <w:smallCaps w:val="false"/>
          <w:sz w:val="20"/>
        </w:rPr>
        <w:t xml:space="preserve">Level </w:t>
      </w:r>
      <w:r>
        <w:rPr>
          <w:rStyle w:val="Emphasis"/>
          <w:rFonts w:ascii="Times New Roman" w:hAnsi="Times New Roman"/>
          <w:caps w:val="false"/>
          <w:smallCaps w:val="false"/>
          <w:sz w:val="20"/>
        </w:rPr>
        <w:t>3</w:t>
      </w:r>
      <w:r>
        <w:rPr>
          <w:rFonts w:ascii="Times New Roman" w:hAnsi="Times New Roman"/>
          <w:caps w:val="false"/>
          <w:smallCaps w:val="false"/>
          <w:sz w:val="20"/>
        </w:rPr>
        <w:t xml:space="preserve"> - Unobservable inputs supported by little or </w:t>
      </w:r>
      <w:r>
        <w:rPr>
          <w:rStyle w:val="Emphasis"/>
          <w:rFonts w:ascii="Times New Roman" w:hAnsi="Times New Roman"/>
          <w:caps w:val="false"/>
          <w:smallCaps w:val="false"/>
          <w:sz w:val="20"/>
        </w:rPr>
        <w:t>no</w:t>
      </w:r>
      <w:r>
        <w:rPr>
          <w:rFonts w:ascii="Times New Roman" w:hAnsi="Times New Roman"/>
          <w:caps w:val="false"/>
          <w:smallCaps w:val="false"/>
          <w:sz w:val="20"/>
        </w:rPr>
        <w:t xml:space="preserve"> market activity for financial instruments whose value is determined using pricing models, discounted cash flow methodologies, or similar techniques, as well as instruments for which the determination of fair value requires significant management judgment or estimation.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While the Company believes its valuation methods are appropriate and consistent with other market participants, the use of different methodologies or assumptions to determine the fair value of certain financial instruments could result in a different estimate of fair value at the reporting date. The following is a description of the valuation methodologies used for complex financial instruments measured at fair value: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pPr>
      <w:r>
        <w:rPr>
          <w:rStyle w:val="Emphasis"/>
          <w:rFonts w:ascii="Times New Roman" w:hAnsi="Times New Roman"/>
          <w:sz w:val="20"/>
        </w:rPr>
        <w:t>16</w:t>
      </w:r>
      <w:r>
        <w:rPr>
          <w:rFonts w:ascii="Times New Roman" w:hAnsi="Times New Roman"/>
          <w:sz w:val="20"/>
        </w:rPr>
        <w:t xml:space="preserve">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283"/>
        <w:jc w:val="left"/>
        <w:rPr/>
      </w:pPr>
      <w:r>
        <w:rPr/>
        <w:t xml:space="preserve">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Recurring Fair Value Measurements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Marketable Equity Securities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caps w:val="false"/>
          <w:smallCaps w:val="false"/>
          <w:sz w:val="20"/>
        </w:rPr>
        <w:t xml:space="preserve">We measure the fair value of marketable equity securities based on quoted market prices obtained from independent pricing services. The Company has an investment in the marketable equity securities of Anfield Energy (“Anfield”), which it acquired as consideration for sales of certain mining operations. Anfield is traded in an active market under the trading symbol AEC:TSXV and has been classified as Level </w:t>
      </w:r>
      <w:r>
        <w:rPr>
          <w:rStyle w:val="Emphasis"/>
          <w:rFonts w:ascii="Times New Roman" w:hAnsi="Times New Roman"/>
          <w:caps w:val="false"/>
          <w:smallCaps w:val="false"/>
          <w:sz w:val="20"/>
        </w:rPr>
        <w:t>1.</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caps w:val="false"/>
          <w:smallCaps w:val="false"/>
          <w:sz w:val="20"/>
        </w:rPr>
        <w:t>We have approximately 32.3 thousand shares of marketable equity securities valued at $309 thousand and $131 thousand as of </w:t>
      </w:r>
      <w:r>
        <w:rPr>
          <w:rStyle w:val="Emphasis"/>
          <w:rFonts w:ascii="Times New Roman" w:hAnsi="Times New Roman"/>
          <w:caps w:val="false"/>
          <w:smallCaps w:val="false"/>
          <w:sz w:val="20"/>
        </w:rPr>
        <w:t xml:space="preserve"> September 30, 2025</w:t>
      </w:r>
      <w:r>
        <w:rPr>
          <w:rFonts w:ascii="Times New Roman" w:hAnsi="Times New Roman"/>
          <w:caps w:val="false"/>
          <w:smallCaps w:val="false"/>
          <w:sz w:val="20"/>
        </w:rPr>
        <w:t xml:space="preserve"> and </w:t>
      </w:r>
      <w:r>
        <w:rPr>
          <w:rStyle w:val="Emphasis"/>
          <w:rFonts w:ascii="Times New Roman" w:hAnsi="Times New Roman"/>
          <w:caps w:val="false"/>
          <w:smallCaps w:val="false"/>
          <w:sz w:val="20"/>
        </w:rPr>
        <w:t>December 31, 2024</w:t>
      </w:r>
      <w:r>
        <w:rPr>
          <w:rFonts w:ascii="Times New Roman" w:hAnsi="Times New Roman"/>
          <w:caps w:val="false"/>
          <w:smallCaps w:val="false"/>
          <w:sz w:val="20"/>
        </w:rPr>
        <w:t>. The stock split for Anfield Energy Inc. on </w:t>
      </w:r>
      <w:r>
        <w:rPr>
          <w:rStyle w:val="Emphasis"/>
          <w:rFonts w:ascii="Times New Roman" w:hAnsi="Times New Roman"/>
          <w:caps w:val="false"/>
          <w:smallCaps w:val="false"/>
          <w:sz w:val="20"/>
        </w:rPr>
        <w:t xml:space="preserve"> August 1,</w:t>
      </w:r>
      <w:r>
        <w:rPr>
          <w:rFonts w:ascii="Times New Roman" w:hAnsi="Times New Roman"/>
          <w:caps w:val="false"/>
          <w:smallCaps w:val="false"/>
          <w:sz w:val="20"/>
        </w:rPr>
        <w:t> </w:t>
      </w:r>
      <w:r>
        <w:rPr>
          <w:rStyle w:val="Emphasis"/>
          <w:rFonts w:ascii="Times New Roman" w:hAnsi="Times New Roman"/>
          <w:caps w:val="false"/>
          <w:smallCaps w:val="false"/>
          <w:sz w:val="20"/>
        </w:rPr>
        <w:t>2025,</w:t>
      </w:r>
      <w:r>
        <w:rPr>
          <w:rFonts w:ascii="Times New Roman" w:hAnsi="Times New Roman"/>
          <w:caps w:val="false"/>
          <w:smallCaps w:val="false"/>
          <w:sz w:val="20"/>
        </w:rPr>
        <w:t> was a </w:t>
      </w:r>
      <w:r>
        <w:rPr>
          <w:rStyle w:val="Emphasis"/>
          <w:rFonts w:ascii="Times New Roman" w:hAnsi="Times New Roman"/>
          <w:caps w:val="false"/>
          <w:smallCaps w:val="false"/>
          <w:sz w:val="20"/>
        </w:rPr>
        <w:t>1</w:t>
      </w:r>
      <w:r>
        <w:rPr>
          <w:rFonts w:ascii="Times New Roman" w:hAnsi="Times New Roman"/>
          <w:caps w:val="false"/>
          <w:smallCaps w:val="false"/>
          <w:sz w:val="20"/>
        </w:rPr>
        <w:t>-for-75 reverse stock split.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Credit Facility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Company’s credit facility approximates fair value because the interest rate is variable and reflective of market rates.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Other Financial Instruments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carrying value of financial instruments included in current assets and current liabilities approximate fair value due to the short-term nature of those instruments.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Nonrecurring Fair Value Measurements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Asset Retirement Obligations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caps w:val="false"/>
          <w:smallCaps w:val="false"/>
          <w:sz w:val="20"/>
        </w:rPr>
        <w:t xml:space="preserve">The Company measures the fair value of asset retirement obligations as of the date a well is acquired, the date a well begins drilling, or the date the Company revises its ARO assumptions. The Company’s estimated AROs are based on historical experience in plugging and abandoning wells, estimated economic lives, estimated plugging and abandonment costs and federal and state regulatory requirements, all unobservable inputs, and therefore, are designated as Level </w:t>
      </w:r>
      <w:r>
        <w:rPr>
          <w:rStyle w:val="Emphasis"/>
          <w:rFonts w:ascii="Times New Roman" w:hAnsi="Times New Roman"/>
          <w:caps w:val="false"/>
          <w:smallCaps w:val="false"/>
          <w:sz w:val="20"/>
        </w:rPr>
        <w:t>3</w:t>
      </w:r>
      <w:r>
        <w:rPr>
          <w:rFonts w:ascii="Times New Roman" w:hAnsi="Times New Roman"/>
          <w:caps w:val="false"/>
          <w:smallCaps w:val="false"/>
          <w:sz w:val="20"/>
        </w:rPr>
        <w:t xml:space="preserve"> within the valuation hierarchy. The liability is discounted using the credit-adjusted risk-free rate estimated at the time the liability is incurred or revised upwards. The credit adjusted risk-free rate used to discount the Company’s plugging and abandonment liabilities range from 7.30% to 19.00%. See </w:t>
      </w:r>
      <w:r>
        <w:rPr>
          <w:rFonts w:ascii="Times New Roman" w:hAnsi="Times New Roman"/>
          <w:i/>
          <w:caps w:val="false"/>
          <w:smallCaps w:val="false"/>
          <w:sz w:val="20"/>
        </w:rPr>
        <w:t xml:space="preserve">Note </w:t>
      </w:r>
      <w:r>
        <w:rPr>
          <w:rStyle w:val="Emphasis"/>
          <w:rFonts w:ascii="Times New Roman" w:hAnsi="Times New Roman"/>
          <w:i/>
          <w:caps w:val="false"/>
          <w:smallCaps w:val="false"/>
          <w:sz w:val="20"/>
        </w:rPr>
        <w:t>10</w:t>
      </w:r>
      <w:r>
        <w:rPr>
          <w:rFonts w:ascii="Times New Roman" w:hAnsi="Times New Roman"/>
          <w:caps w:val="false"/>
          <w:smallCaps w:val="false"/>
          <w:sz w:val="20"/>
        </w:rPr>
        <w:t>-</w:t>
      </w:r>
      <w:r>
        <w:rPr>
          <w:rFonts w:ascii="Times New Roman" w:hAnsi="Times New Roman"/>
          <w:i/>
          <w:caps w:val="false"/>
          <w:smallCaps w:val="false"/>
          <w:sz w:val="20"/>
        </w:rPr>
        <w:t>Asset Retirement Obligations</w:t>
      </w:r>
      <w:r>
        <w:rPr>
          <w:rFonts w:ascii="Times New Roman" w:hAnsi="Times New Roman"/>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283"/>
        <w:jc w:val="left"/>
        <w:rPr/>
      </w:pPr>
      <w:r>
        <w:rPr/>
        <w:t xml:space="preserve">  </w:t>
      </w:r>
    </w:p>
    <w:p>
      <w:pPr>
        <w:pStyle w:val="TextBody"/>
        <w:bidi w:val="0"/>
        <w:spacing w:before="0" w:after="0"/>
        <w:ind w:left="0" w:right="0" w:hanging="0"/>
        <w:jc w:val="both"/>
        <w:rPr/>
      </w:pPr>
      <w:r>
        <w:rPr>
          <w:rStyle w:val="Emphasis"/>
          <w:rFonts w:ascii="Times New Roman" w:hAnsi="Times New Roman"/>
          <w:b/>
          <w:caps w:val="false"/>
          <w:smallCaps w:val="false"/>
          <w:sz w:val="20"/>
        </w:rPr>
        <w:t>14.</w:t>
      </w:r>
      <w:r>
        <w:rPr>
          <w:rFonts w:ascii="Times New Roman" w:hAnsi="Times New Roman"/>
          <w:b/>
          <w:caps w:val="false"/>
          <w:smallCaps w:val="false"/>
          <w:sz w:val="20"/>
        </w:rPr>
        <w:t xml:space="preserve"> OTHER CURRENT ASSETS AND ACCOUNTS PAYABLE AND ACCRUED LIABILITIES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Other Current Assets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following table presents the components of other current assets as of the dates indicated:</w:t>
      </w:r>
    </w:p>
    <w:p>
      <w:pPr>
        <w:pStyle w:val="TextBody"/>
        <w:bidi w:val="0"/>
        <w:spacing w:before="0" w:after="0"/>
        <w:ind w:left="0" w:right="0" w:hanging="0"/>
        <w:jc w:val="left"/>
        <w:rPr>
          <w:caps w:val="false"/>
          <w:smallCaps w:val="false"/>
        </w:rPr>
      </w:pPr>
      <w:r>
        <w:rPr>
          <w:caps w:val="false"/>
          <w:smallCaps w:val="false"/>
        </w:rPr>
        <w:t> </w:t>
      </w:r>
    </w:p>
    <w:tbl>
      <w:tblPr>
        <w:tblW w:w="6133" w:type="dxa"/>
        <w:jc w:val="left"/>
        <w:tblInd w:w="0" w:type="dxa"/>
        <w:tblLayout w:type="fixed"/>
        <w:tblCellMar>
          <w:top w:w="0" w:type="dxa"/>
          <w:left w:w="0" w:type="dxa"/>
          <w:bottom w:w="0" w:type="dxa"/>
          <w:right w:w="0" w:type="dxa"/>
        </w:tblCellMar>
      </w:tblPr>
      <w:tblGrid>
        <w:gridCol w:w="2630"/>
        <w:gridCol w:w="60"/>
        <w:gridCol w:w="448"/>
        <w:gridCol w:w="1206"/>
        <w:gridCol w:w="60"/>
        <w:gridCol w:w="60"/>
        <w:gridCol w:w="436"/>
        <w:gridCol w:w="1173"/>
        <w:gridCol w:w="60"/>
      </w:tblGrid>
      <w:tr>
        <w:trPr/>
        <w:tc>
          <w:tcPr>
            <w:tcW w:w="263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654"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September 30, 2025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609"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December 31, 2024</w:t>
            </w:r>
          </w:p>
        </w:tc>
        <w:tc>
          <w:tcPr>
            <w:tcW w:w="60" w:type="dxa"/>
            <w:tcBorders/>
            <w:shd w:fill="FFFFFF" w:val="clear"/>
            <w:vAlign w:val="center"/>
          </w:tcPr>
          <w:p>
            <w:pPr>
              <w:pStyle w:val="TableContents"/>
              <w:bidi w:val="0"/>
              <w:spacing w:before="0" w:after="283"/>
              <w:jc w:val="left"/>
              <w:rPr/>
            </w:pPr>
            <w:r>
              <w:rPr/>
              <w:t> </w:t>
            </w:r>
          </w:p>
        </w:tc>
      </w:tr>
      <w:tr>
        <w:trPr/>
        <w:tc>
          <w:tcPr>
            <w:tcW w:w="263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3383" w:type="dxa"/>
            <w:gridSpan w:val="6"/>
            <w:tcBorders/>
            <w:shd w:fill="FFFFFF" w:val="cle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(in thousands)</w:t>
            </w:r>
          </w:p>
        </w:tc>
        <w:tc>
          <w:tcPr>
            <w:tcW w:w="60" w:type="dxa"/>
            <w:tcBorders/>
            <w:shd w:fill="FFFFFF" w:val="clear"/>
            <w:vAlign w:val="center"/>
          </w:tcPr>
          <w:p>
            <w:pPr>
              <w:pStyle w:val="TableContents"/>
              <w:bidi w:val="0"/>
              <w:spacing w:before="0" w:after="283"/>
              <w:jc w:val="left"/>
              <w:rPr/>
            </w:pPr>
            <w:r>
              <w:rPr/>
              <w:t> </w:t>
            </w:r>
          </w:p>
        </w:tc>
      </w:tr>
      <w:tr>
        <w:trPr/>
        <w:tc>
          <w:tcPr>
            <w:tcW w:w="2630"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Prepaid expenses</w:t>
            </w:r>
          </w:p>
        </w:tc>
        <w:tc>
          <w:tcPr>
            <w:tcW w:w="60" w:type="dxa"/>
            <w:tcBorders/>
            <w:shd w:fill="CCEEFF" w:val="clear"/>
            <w:vAlign w:val="center"/>
          </w:tcPr>
          <w:p>
            <w:pPr>
              <w:pStyle w:val="TableContents"/>
              <w:bidi w:val="0"/>
              <w:spacing w:before="0" w:after="283"/>
              <w:ind w:left="0" w:right="0" w:hanging="0"/>
              <w:jc w:val="left"/>
              <w:rPr/>
            </w:pPr>
            <w:r>
              <w:rPr/>
              <w:t> </w:t>
            </w:r>
          </w:p>
        </w:tc>
        <w:tc>
          <w:tcPr>
            <w:tcW w:w="448"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1206"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345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436"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1173"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119</w:t>
            </w:r>
          </w:p>
        </w:tc>
        <w:tc>
          <w:tcPr>
            <w:tcW w:w="60" w:type="dxa"/>
            <w:tcBorders/>
            <w:shd w:fill="CCEEFF" w:val="clear"/>
            <w:vAlign w:val="center"/>
          </w:tcPr>
          <w:p>
            <w:pPr>
              <w:pStyle w:val="TableContents"/>
              <w:bidi w:val="0"/>
              <w:spacing w:before="0" w:after="283"/>
              <w:jc w:val="left"/>
              <w:rPr/>
            </w:pPr>
            <w:r>
              <w:rPr/>
              <w:t> </w:t>
            </w:r>
          </w:p>
        </w:tc>
      </w:tr>
      <w:tr>
        <w:trPr/>
        <w:tc>
          <w:tcPr>
            <w:tcW w:w="2630"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Joint interest billings receivable</w:t>
            </w:r>
          </w:p>
        </w:tc>
        <w:tc>
          <w:tcPr>
            <w:tcW w:w="60" w:type="dxa"/>
            <w:tcBorders/>
            <w:shd w:fill="FFFFFF" w:val="clear"/>
            <w:vAlign w:val="center"/>
          </w:tcPr>
          <w:p>
            <w:pPr>
              <w:pStyle w:val="TableContents"/>
              <w:bidi w:val="0"/>
              <w:spacing w:before="0" w:after="283"/>
              <w:jc w:val="left"/>
              <w:rPr/>
            </w:pPr>
            <w:r>
              <w:rPr/>
              <w:t> </w:t>
            </w:r>
          </w:p>
        </w:tc>
        <w:tc>
          <w:tcPr>
            <w:tcW w:w="448" w:type="dxa"/>
            <w:tcBorders/>
            <w:shd w:fill="FFFFFF" w:val="clear"/>
            <w:vAlign w:val="center"/>
          </w:tcPr>
          <w:p>
            <w:pPr>
              <w:pStyle w:val="TableContents"/>
              <w:bidi w:val="0"/>
              <w:spacing w:before="0" w:after="283"/>
              <w:ind w:left="0" w:right="0" w:hanging="0"/>
              <w:jc w:val="left"/>
              <w:rPr/>
            </w:pPr>
            <w:r>
              <w:rPr/>
              <w:t> </w:t>
            </w:r>
          </w:p>
        </w:tc>
        <w:tc>
          <w:tcPr>
            <w:tcW w:w="1206"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106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ind w:left="0" w:right="0" w:hanging="0"/>
              <w:jc w:val="left"/>
              <w:rPr/>
            </w:pPr>
            <w:r>
              <w:rPr/>
              <w:t> </w:t>
            </w:r>
          </w:p>
        </w:tc>
        <w:tc>
          <w:tcPr>
            <w:tcW w:w="1173"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378</w:t>
            </w:r>
          </w:p>
        </w:tc>
        <w:tc>
          <w:tcPr>
            <w:tcW w:w="60" w:type="dxa"/>
            <w:tcBorders/>
            <w:shd w:fill="FFFFFF" w:val="clear"/>
            <w:vAlign w:val="center"/>
          </w:tcPr>
          <w:p>
            <w:pPr>
              <w:pStyle w:val="TableContents"/>
              <w:bidi w:val="0"/>
              <w:spacing w:before="0" w:after="283"/>
              <w:jc w:val="left"/>
              <w:rPr/>
            </w:pPr>
            <w:r>
              <w:rPr/>
              <w:t> </w:t>
            </w:r>
          </w:p>
        </w:tc>
      </w:tr>
      <w:tr>
        <w:trPr/>
        <w:tc>
          <w:tcPr>
            <w:tcW w:w="2630"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Income tax receivable</w:t>
            </w:r>
          </w:p>
        </w:tc>
        <w:tc>
          <w:tcPr>
            <w:tcW w:w="60" w:type="dxa"/>
            <w:tcBorders/>
            <w:shd w:fill="CCEEFF" w:val="clear"/>
            <w:vAlign w:val="center"/>
          </w:tcPr>
          <w:p>
            <w:pPr>
              <w:pStyle w:val="TableContents"/>
              <w:bidi w:val="0"/>
              <w:spacing w:before="0" w:after="283"/>
              <w:jc w:val="left"/>
              <w:rPr/>
            </w:pPr>
            <w:r>
              <w:rPr/>
              <w:t> </w:t>
            </w:r>
          </w:p>
        </w:tc>
        <w:tc>
          <w:tcPr>
            <w:tcW w:w="448" w:type="dxa"/>
            <w:tcBorders/>
            <w:shd w:fill="CCEEFF" w:val="clear"/>
            <w:vAlign w:val="center"/>
          </w:tcPr>
          <w:p>
            <w:pPr>
              <w:pStyle w:val="TableContents"/>
              <w:bidi w:val="0"/>
              <w:spacing w:before="0" w:after="283"/>
              <w:ind w:left="0" w:right="0" w:hanging="0"/>
              <w:jc w:val="left"/>
              <w:rPr/>
            </w:pPr>
            <w:r>
              <w:rPr/>
              <w:t> </w:t>
            </w:r>
          </w:p>
        </w:tc>
        <w:tc>
          <w:tcPr>
            <w:tcW w:w="1206"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36" w:type="dxa"/>
            <w:tcBorders/>
            <w:shd w:fill="CCEEFF" w:val="clear"/>
            <w:vAlign w:val="center"/>
          </w:tcPr>
          <w:p>
            <w:pPr>
              <w:pStyle w:val="TableContents"/>
              <w:bidi w:val="0"/>
              <w:spacing w:before="0" w:after="283"/>
              <w:ind w:left="0" w:right="0" w:hanging="0"/>
              <w:jc w:val="left"/>
              <w:rPr/>
            </w:pPr>
            <w:r>
              <w:rPr/>
              <w:t> </w:t>
            </w:r>
          </w:p>
        </w:tc>
        <w:tc>
          <w:tcPr>
            <w:tcW w:w="1173"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28</w:t>
            </w:r>
          </w:p>
        </w:tc>
        <w:tc>
          <w:tcPr>
            <w:tcW w:w="60" w:type="dxa"/>
            <w:tcBorders/>
            <w:shd w:fill="CCEEFF" w:val="clear"/>
            <w:vAlign w:val="center"/>
          </w:tcPr>
          <w:p>
            <w:pPr>
              <w:pStyle w:val="TableContents"/>
              <w:bidi w:val="0"/>
              <w:spacing w:before="0" w:after="283"/>
              <w:jc w:val="left"/>
              <w:rPr/>
            </w:pPr>
            <w:r>
              <w:rPr/>
              <w:t> </w:t>
            </w:r>
          </w:p>
        </w:tc>
      </w:tr>
      <w:tr>
        <w:trPr/>
        <w:tc>
          <w:tcPr>
            <w:tcW w:w="2630"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Other</w:t>
            </w:r>
          </w:p>
        </w:tc>
        <w:tc>
          <w:tcPr>
            <w:tcW w:w="60" w:type="dxa"/>
            <w:tcBorders/>
            <w:shd w:fill="FFFFFF" w:val="clear"/>
            <w:vAlign w:val="center"/>
          </w:tcPr>
          <w:p>
            <w:pPr>
              <w:pStyle w:val="TableContents"/>
              <w:bidi w:val="0"/>
              <w:spacing w:before="0" w:after="283"/>
              <w:jc w:val="left"/>
              <w:rPr/>
            </w:pPr>
            <w:r>
              <w:rPr/>
              <w:t> </w:t>
            </w:r>
          </w:p>
        </w:tc>
        <w:tc>
          <w:tcPr>
            <w:tcW w:w="448"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206"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106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36"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173"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47</w:t>
            </w:r>
          </w:p>
        </w:tc>
        <w:tc>
          <w:tcPr>
            <w:tcW w:w="60" w:type="dxa"/>
            <w:tcBorders/>
            <w:shd w:fill="FFFFFF" w:val="clear"/>
            <w:vAlign w:val="center"/>
          </w:tcPr>
          <w:p>
            <w:pPr>
              <w:pStyle w:val="TableContents"/>
              <w:bidi w:val="0"/>
              <w:spacing w:before="0" w:after="283"/>
              <w:jc w:val="left"/>
              <w:rPr/>
            </w:pPr>
            <w:r>
              <w:rPr/>
              <w:t> </w:t>
            </w:r>
          </w:p>
        </w:tc>
      </w:tr>
      <w:tr>
        <w:trPr/>
        <w:tc>
          <w:tcPr>
            <w:tcW w:w="263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48" w:type="dxa"/>
            <w:tcBorders/>
            <w:shd w:fill="CCEEFF" w:val="clear"/>
            <w:vAlign w:val="center"/>
          </w:tcPr>
          <w:p>
            <w:pPr>
              <w:pStyle w:val="TableContents"/>
              <w:bidi w:val="0"/>
              <w:spacing w:before="0" w:after="283"/>
              <w:jc w:val="left"/>
              <w:rPr/>
            </w:pPr>
            <w:r>
              <w:rPr/>
              <w:t> </w:t>
            </w:r>
          </w:p>
        </w:tc>
        <w:tc>
          <w:tcPr>
            <w:tcW w:w="1206"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36" w:type="dxa"/>
            <w:tcBorders/>
            <w:shd w:fill="CCEEFF" w:val="clear"/>
            <w:vAlign w:val="center"/>
          </w:tcPr>
          <w:p>
            <w:pPr>
              <w:pStyle w:val="TableContents"/>
              <w:bidi w:val="0"/>
              <w:spacing w:before="0" w:after="283"/>
              <w:jc w:val="left"/>
              <w:rPr/>
            </w:pPr>
            <w:r>
              <w:rPr/>
              <w:t> </w:t>
            </w:r>
          </w:p>
        </w:tc>
        <w:tc>
          <w:tcPr>
            <w:tcW w:w="1173"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r>
      <w:tr>
        <w:trPr/>
        <w:tc>
          <w:tcPr>
            <w:tcW w:w="2630" w:type="dxa"/>
            <w:tcBorders/>
            <w:shd w:fill="FFFF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Total other current assets</w:t>
            </w:r>
          </w:p>
        </w:tc>
        <w:tc>
          <w:tcPr>
            <w:tcW w:w="60" w:type="dxa"/>
            <w:tcBorders/>
            <w:shd w:fill="FFFFFF" w:val="clear"/>
            <w:vAlign w:val="center"/>
          </w:tcPr>
          <w:p>
            <w:pPr>
              <w:pStyle w:val="TableContents"/>
              <w:bidi w:val="0"/>
              <w:spacing w:before="0" w:after="283"/>
              <w:ind w:left="0" w:right="0" w:hanging="0"/>
              <w:jc w:val="left"/>
              <w:rPr/>
            </w:pPr>
            <w:r>
              <w:rPr/>
              <w:t> </w:t>
            </w:r>
          </w:p>
        </w:tc>
        <w:tc>
          <w:tcPr>
            <w:tcW w:w="448"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1206"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584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436"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1173"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572</w:t>
            </w:r>
          </w:p>
        </w:tc>
        <w:tc>
          <w:tcPr>
            <w:tcW w:w="60"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pPr>
      <w:r>
        <w:rPr>
          <w:rStyle w:val="Emphasis"/>
          <w:rFonts w:ascii="Times New Roman" w:hAnsi="Times New Roman"/>
          <w:sz w:val="20"/>
        </w:rPr>
        <w:t>17</w:t>
      </w:r>
      <w:r>
        <w:rPr>
          <w:rFonts w:ascii="Times New Roman" w:hAnsi="Times New Roman"/>
          <w:sz w:val="20"/>
        </w:rPr>
        <w:t xml:space="preserve">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283"/>
        <w:jc w:val="left"/>
        <w:rPr/>
      </w:pPr>
      <w:r>
        <w:rPr/>
        <w:t xml:space="preserve">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b/>
          <w:caps w:val="false"/>
          <w:smallCaps w:val="false"/>
          <w:sz w:val="20"/>
        </w:rPr>
        <w:t>Accounts Payable and Accrued Liabilities</w:t>
      </w:r>
      <w:r>
        <w:rPr>
          <w:rFonts w:ascii="Times New Roman" w:hAnsi="Times New Roman"/>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The following table presents the components of accounts payable and accrued liabilities as of the dates indicated:</w:t>
      </w:r>
    </w:p>
    <w:p>
      <w:pPr>
        <w:pStyle w:val="TextBody"/>
        <w:bidi w:val="0"/>
        <w:spacing w:before="0" w:after="0"/>
        <w:ind w:left="0" w:right="0" w:hanging="0"/>
        <w:jc w:val="left"/>
        <w:rPr>
          <w:caps w:val="false"/>
          <w:smallCaps w:val="false"/>
        </w:rPr>
      </w:pPr>
      <w:r>
        <w:rPr>
          <w:caps w:val="false"/>
          <w:smallCaps w:val="false"/>
        </w:rPr>
        <w:t> </w:t>
      </w:r>
    </w:p>
    <w:tbl>
      <w:tblPr>
        <w:tblW w:w="8368" w:type="dxa"/>
        <w:jc w:val="left"/>
        <w:tblInd w:w="0" w:type="dxa"/>
        <w:tblLayout w:type="fixed"/>
        <w:tblCellMar>
          <w:top w:w="0" w:type="dxa"/>
          <w:left w:w="0" w:type="dxa"/>
          <w:bottom w:w="0" w:type="dxa"/>
          <w:right w:w="0" w:type="dxa"/>
        </w:tblCellMar>
      </w:tblPr>
      <w:tblGrid>
        <w:gridCol w:w="4865"/>
        <w:gridCol w:w="60"/>
        <w:gridCol w:w="338"/>
        <w:gridCol w:w="1316"/>
        <w:gridCol w:w="60"/>
        <w:gridCol w:w="60"/>
        <w:gridCol w:w="329"/>
        <w:gridCol w:w="1280"/>
        <w:gridCol w:w="60"/>
      </w:tblGrid>
      <w:tr>
        <w:trPr/>
        <w:tc>
          <w:tcPr>
            <w:tcW w:w="486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654"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September 30, 2025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609"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December 31, 2024</w:t>
            </w:r>
          </w:p>
        </w:tc>
        <w:tc>
          <w:tcPr>
            <w:tcW w:w="60" w:type="dxa"/>
            <w:tcBorders/>
            <w:shd w:fill="FFFFFF" w:val="clear"/>
            <w:vAlign w:val="center"/>
          </w:tcPr>
          <w:p>
            <w:pPr>
              <w:pStyle w:val="TableContents"/>
              <w:bidi w:val="0"/>
              <w:spacing w:before="0" w:after="283"/>
              <w:jc w:val="left"/>
              <w:rPr/>
            </w:pPr>
            <w:r>
              <w:rPr/>
              <w:t> </w:t>
            </w:r>
          </w:p>
        </w:tc>
      </w:tr>
      <w:tr>
        <w:trPr/>
        <w:tc>
          <w:tcPr>
            <w:tcW w:w="486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3383" w:type="dxa"/>
            <w:gridSpan w:val="6"/>
            <w:tcBorders/>
            <w:shd w:fill="FFFFFF" w:val="cle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(in thousands)</w:t>
            </w:r>
          </w:p>
        </w:tc>
        <w:tc>
          <w:tcPr>
            <w:tcW w:w="60" w:type="dxa"/>
            <w:tcBorders/>
            <w:shd w:fill="FFFFFF" w:val="clear"/>
            <w:vAlign w:val="center"/>
          </w:tcPr>
          <w:p>
            <w:pPr>
              <w:pStyle w:val="TableContents"/>
              <w:bidi w:val="0"/>
              <w:spacing w:before="0" w:after="283"/>
              <w:jc w:val="left"/>
              <w:rPr/>
            </w:pPr>
            <w:r>
              <w:rPr/>
              <w:t> </w:t>
            </w:r>
          </w:p>
        </w:tc>
      </w:tr>
      <w:tr>
        <w:trPr/>
        <w:tc>
          <w:tcPr>
            <w:tcW w:w="4865"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Accounts payable</w:t>
            </w:r>
          </w:p>
        </w:tc>
        <w:tc>
          <w:tcPr>
            <w:tcW w:w="60" w:type="dxa"/>
            <w:tcBorders/>
            <w:shd w:fill="CCEEFF" w:val="clear"/>
            <w:vAlign w:val="center"/>
          </w:tcPr>
          <w:p>
            <w:pPr>
              <w:pStyle w:val="TableContents"/>
              <w:bidi w:val="0"/>
              <w:spacing w:before="0" w:after="283"/>
              <w:ind w:left="0" w:right="0" w:hanging="0"/>
              <w:jc w:val="left"/>
              <w:rPr/>
            </w:pPr>
            <w:r>
              <w:rPr/>
              <w:t> </w:t>
            </w:r>
          </w:p>
        </w:tc>
        <w:tc>
          <w:tcPr>
            <w:tcW w:w="338"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1316"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2,699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329"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1280"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2,197</w:t>
            </w:r>
          </w:p>
        </w:tc>
        <w:tc>
          <w:tcPr>
            <w:tcW w:w="60" w:type="dxa"/>
            <w:tcBorders/>
            <w:shd w:fill="CCEEFF" w:val="clear"/>
            <w:vAlign w:val="center"/>
          </w:tcPr>
          <w:p>
            <w:pPr>
              <w:pStyle w:val="TableContents"/>
              <w:bidi w:val="0"/>
              <w:spacing w:before="0" w:after="283"/>
              <w:jc w:val="left"/>
              <w:rPr/>
            </w:pPr>
            <w:r>
              <w:rPr/>
              <w:t> </w:t>
            </w:r>
          </w:p>
        </w:tc>
      </w:tr>
      <w:tr>
        <w:trPr/>
        <w:tc>
          <w:tcPr>
            <w:tcW w:w="4865"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Operating expense and oil and natural gas property accruals</w:t>
            </w:r>
          </w:p>
        </w:tc>
        <w:tc>
          <w:tcPr>
            <w:tcW w:w="60" w:type="dxa"/>
            <w:tcBorders/>
            <w:shd w:fill="FFFFFF" w:val="clear"/>
            <w:vAlign w:val="center"/>
          </w:tcPr>
          <w:p>
            <w:pPr>
              <w:pStyle w:val="TableContents"/>
              <w:bidi w:val="0"/>
              <w:spacing w:before="0" w:after="283"/>
              <w:jc w:val="left"/>
              <w:rPr/>
            </w:pPr>
            <w:r>
              <w:rPr/>
              <w:t> </w:t>
            </w:r>
          </w:p>
        </w:tc>
        <w:tc>
          <w:tcPr>
            <w:tcW w:w="338" w:type="dxa"/>
            <w:tcBorders/>
            <w:shd w:fill="FFFFFF" w:val="clear"/>
            <w:vAlign w:val="center"/>
          </w:tcPr>
          <w:p>
            <w:pPr>
              <w:pStyle w:val="TableContents"/>
              <w:bidi w:val="0"/>
              <w:spacing w:before="0" w:after="283"/>
              <w:ind w:left="0" w:right="0" w:hanging="0"/>
              <w:jc w:val="left"/>
              <w:rPr/>
            </w:pPr>
            <w:r>
              <w:rPr/>
              <w:t> </w:t>
            </w:r>
          </w:p>
        </w:tc>
        <w:tc>
          <w:tcPr>
            <w:tcW w:w="1316"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419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29" w:type="dxa"/>
            <w:tcBorders/>
            <w:shd w:fill="FFFFFF" w:val="clear"/>
            <w:vAlign w:val="center"/>
          </w:tcPr>
          <w:p>
            <w:pPr>
              <w:pStyle w:val="TableContents"/>
              <w:bidi w:val="0"/>
              <w:spacing w:before="0" w:after="283"/>
              <w:ind w:left="0" w:right="0" w:hanging="0"/>
              <w:jc w:val="left"/>
              <w:rPr/>
            </w:pPr>
            <w:r>
              <w:rPr/>
              <w:t> </w:t>
            </w:r>
          </w:p>
        </w:tc>
        <w:tc>
          <w:tcPr>
            <w:tcW w:w="1280"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2,417</w:t>
            </w:r>
          </w:p>
        </w:tc>
        <w:tc>
          <w:tcPr>
            <w:tcW w:w="60" w:type="dxa"/>
            <w:tcBorders/>
            <w:shd w:fill="FFFFFF" w:val="clear"/>
            <w:vAlign w:val="center"/>
          </w:tcPr>
          <w:p>
            <w:pPr>
              <w:pStyle w:val="TableContents"/>
              <w:bidi w:val="0"/>
              <w:spacing w:before="0" w:after="283"/>
              <w:jc w:val="left"/>
              <w:rPr/>
            </w:pPr>
            <w:r>
              <w:rPr/>
              <w:t> </w:t>
            </w:r>
          </w:p>
        </w:tc>
      </w:tr>
      <w:tr>
        <w:trPr/>
        <w:tc>
          <w:tcPr>
            <w:tcW w:w="4865"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Interest Payable</w:t>
            </w:r>
          </w:p>
        </w:tc>
        <w:tc>
          <w:tcPr>
            <w:tcW w:w="60" w:type="dxa"/>
            <w:tcBorders/>
            <w:shd w:fill="CCEEFF" w:val="clear"/>
            <w:vAlign w:val="center"/>
          </w:tcPr>
          <w:p>
            <w:pPr>
              <w:pStyle w:val="TableContents"/>
              <w:bidi w:val="0"/>
              <w:spacing w:before="0" w:after="283"/>
              <w:jc w:val="left"/>
              <w:rPr/>
            </w:pPr>
            <w:r>
              <w:rPr/>
              <w:t> </w:t>
            </w:r>
          </w:p>
        </w:tc>
        <w:tc>
          <w:tcPr>
            <w:tcW w:w="338" w:type="dxa"/>
            <w:tcBorders/>
            <w:shd w:fill="CCEEFF" w:val="clear"/>
            <w:vAlign w:val="center"/>
          </w:tcPr>
          <w:p>
            <w:pPr>
              <w:pStyle w:val="TableContents"/>
              <w:bidi w:val="0"/>
              <w:spacing w:before="0" w:after="283"/>
              <w:ind w:left="0" w:right="0" w:hanging="0"/>
              <w:jc w:val="left"/>
              <w:rPr/>
            </w:pPr>
            <w:r>
              <w:rPr/>
              <w:t> </w:t>
            </w:r>
          </w:p>
        </w:tc>
        <w:tc>
          <w:tcPr>
            <w:tcW w:w="1316"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29" w:type="dxa"/>
            <w:tcBorders/>
            <w:shd w:fill="CCEEFF" w:val="clear"/>
            <w:vAlign w:val="center"/>
          </w:tcPr>
          <w:p>
            <w:pPr>
              <w:pStyle w:val="TableContents"/>
              <w:bidi w:val="0"/>
              <w:spacing w:before="0" w:after="283"/>
              <w:ind w:left="0" w:right="0" w:hanging="0"/>
              <w:jc w:val="left"/>
              <w:rPr/>
            </w:pPr>
            <w:r>
              <w:rPr/>
              <w:t> </w:t>
            </w:r>
          </w:p>
        </w:tc>
        <w:tc>
          <w:tcPr>
            <w:tcW w:w="1280"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172</w:t>
            </w:r>
          </w:p>
        </w:tc>
        <w:tc>
          <w:tcPr>
            <w:tcW w:w="60" w:type="dxa"/>
            <w:tcBorders/>
            <w:shd w:fill="CCEEFF" w:val="clear"/>
            <w:vAlign w:val="center"/>
          </w:tcPr>
          <w:p>
            <w:pPr>
              <w:pStyle w:val="TableContents"/>
              <w:bidi w:val="0"/>
              <w:spacing w:before="0" w:after="283"/>
              <w:jc w:val="left"/>
              <w:rPr/>
            </w:pPr>
            <w:r>
              <w:rPr/>
              <w:t> </w:t>
            </w:r>
          </w:p>
        </w:tc>
      </w:tr>
      <w:tr>
        <w:trPr/>
        <w:tc>
          <w:tcPr>
            <w:tcW w:w="4865"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Production taxes payable</w:t>
            </w:r>
          </w:p>
        </w:tc>
        <w:tc>
          <w:tcPr>
            <w:tcW w:w="60" w:type="dxa"/>
            <w:tcBorders/>
            <w:shd w:fill="FFFFFF" w:val="clear"/>
            <w:vAlign w:val="center"/>
          </w:tcPr>
          <w:p>
            <w:pPr>
              <w:pStyle w:val="TableContents"/>
              <w:bidi w:val="0"/>
              <w:spacing w:before="0" w:after="283"/>
              <w:jc w:val="left"/>
              <w:rPr/>
            </w:pPr>
            <w:r>
              <w:rPr/>
              <w:t> </w:t>
            </w:r>
          </w:p>
        </w:tc>
        <w:tc>
          <w:tcPr>
            <w:tcW w:w="338" w:type="dxa"/>
            <w:tcBorders/>
            <w:shd w:fill="FFFFFF" w:val="clear"/>
            <w:vAlign w:val="center"/>
          </w:tcPr>
          <w:p>
            <w:pPr>
              <w:pStyle w:val="TableContents"/>
              <w:bidi w:val="0"/>
              <w:spacing w:before="0" w:after="283"/>
              <w:ind w:left="0" w:right="0" w:hanging="0"/>
              <w:jc w:val="left"/>
              <w:rPr/>
            </w:pPr>
            <w:r>
              <w:rPr/>
              <w:t> </w:t>
            </w:r>
          </w:p>
        </w:tc>
        <w:tc>
          <w:tcPr>
            <w:tcW w:w="1316"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585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29" w:type="dxa"/>
            <w:tcBorders/>
            <w:shd w:fill="FFFFFF" w:val="clear"/>
            <w:vAlign w:val="center"/>
          </w:tcPr>
          <w:p>
            <w:pPr>
              <w:pStyle w:val="TableContents"/>
              <w:bidi w:val="0"/>
              <w:spacing w:before="0" w:after="283"/>
              <w:ind w:left="0" w:right="0" w:hanging="0"/>
              <w:jc w:val="left"/>
              <w:rPr/>
            </w:pPr>
            <w:r>
              <w:rPr/>
              <w:t> </w:t>
            </w:r>
          </w:p>
        </w:tc>
        <w:tc>
          <w:tcPr>
            <w:tcW w:w="1280"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653</w:t>
            </w:r>
          </w:p>
        </w:tc>
        <w:tc>
          <w:tcPr>
            <w:tcW w:w="60" w:type="dxa"/>
            <w:tcBorders/>
            <w:shd w:fill="FFFFFF" w:val="clear"/>
            <w:vAlign w:val="center"/>
          </w:tcPr>
          <w:p>
            <w:pPr>
              <w:pStyle w:val="TableContents"/>
              <w:bidi w:val="0"/>
              <w:spacing w:before="0" w:after="283"/>
              <w:jc w:val="left"/>
              <w:rPr/>
            </w:pPr>
            <w:r>
              <w:rPr/>
              <w:t> </w:t>
            </w:r>
          </w:p>
        </w:tc>
      </w:tr>
      <w:tr>
        <w:trPr/>
        <w:tc>
          <w:tcPr>
            <w:tcW w:w="4865"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Other</w:t>
            </w:r>
          </w:p>
        </w:tc>
        <w:tc>
          <w:tcPr>
            <w:tcW w:w="60" w:type="dxa"/>
            <w:tcBorders/>
            <w:shd w:fill="CCEEFF" w:val="clear"/>
            <w:vAlign w:val="center"/>
          </w:tcPr>
          <w:p>
            <w:pPr>
              <w:pStyle w:val="TableContents"/>
              <w:bidi w:val="0"/>
              <w:spacing w:before="0" w:after="283"/>
              <w:jc w:val="left"/>
              <w:rPr/>
            </w:pPr>
            <w:r>
              <w:rPr/>
              <w:t> </w:t>
            </w:r>
          </w:p>
        </w:tc>
        <w:tc>
          <w:tcPr>
            <w:tcW w:w="338"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316"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274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29"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28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27</w:t>
            </w:r>
          </w:p>
        </w:tc>
        <w:tc>
          <w:tcPr>
            <w:tcW w:w="60" w:type="dxa"/>
            <w:tcBorders/>
            <w:shd w:fill="CCEEFF" w:val="clear"/>
            <w:vAlign w:val="center"/>
          </w:tcPr>
          <w:p>
            <w:pPr>
              <w:pStyle w:val="TableContents"/>
              <w:bidi w:val="0"/>
              <w:spacing w:before="0" w:after="283"/>
              <w:jc w:val="left"/>
              <w:rPr/>
            </w:pPr>
            <w:r>
              <w:rPr/>
              <w:t> </w:t>
            </w:r>
          </w:p>
        </w:tc>
      </w:tr>
      <w:tr>
        <w:trPr/>
        <w:tc>
          <w:tcPr>
            <w:tcW w:w="486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38" w:type="dxa"/>
            <w:tcBorders/>
            <w:shd w:fill="FFFFFF" w:val="clear"/>
            <w:vAlign w:val="center"/>
          </w:tcPr>
          <w:p>
            <w:pPr>
              <w:pStyle w:val="TableContents"/>
              <w:bidi w:val="0"/>
              <w:spacing w:before="0" w:after="283"/>
              <w:jc w:val="left"/>
              <w:rPr/>
            </w:pPr>
            <w:r>
              <w:rPr/>
              <w:t> </w:t>
            </w:r>
          </w:p>
        </w:tc>
        <w:tc>
          <w:tcPr>
            <w:tcW w:w="1316"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29" w:type="dxa"/>
            <w:tcBorders/>
            <w:shd w:fill="FFFFFF" w:val="clear"/>
            <w:vAlign w:val="center"/>
          </w:tcPr>
          <w:p>
            <w:pPr>
              <w:pStyle w:val="TableContents"/>
              <w:bidi w:val="0"/>
              <w:spacing w:before="0" w:after="283"/>
              <w:jc w:val="left"/>
              <w:rPr/>
            </w:pPr>
            <w:r>
              <w:rPr/>
              <w:t> </w:t>
            </w:r>
          </w:p>
        </w:tc>
        <w:tc>
          <w:tcPr>
            <w:tcW w:w="12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r>
      <w:tr>
        <w:trPr/>
        <w:tc>
          <w:tcPr>
            <w:tcW w:w="4865"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Total accounts payable and accrued expenses</w:t>
            </w:r>
          </w:p>
        </w:tc>
        <w:tc>
          <w:tcPr>
            <w:tcW w:w="60" w:type="dxa"/>
            <w:tcBorders/>
            <w:shd w:fill="CCEEFF" w:val="clear"/>
            <w:vAlign w:val="center"/>
          </w:tcPr>
          <w:p>
            <w:pPr>
              <w:pStyle w:val="TableContents"/>
              <w:bidi w:val="0"/>
              <w:spacing w:before="0" w:after="283"/>
              <w:ind w:left="0" w:right="0" w:hanging="0"/>
              <w:jc w:val="left"/>
              <w:rPr/>
            </w:pPr>
            <w:r>
              <w:rPr/>
              <w:t> </w:t>
            </w:r>
          </w:p>
        </w:tc>
        <w:tc>
          <w:tcPr>
            <w:tcW w:w="338"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1316"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3,977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329"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1280"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5,466</w:t>
            </w:r>
          </w:p>
        </w:tc>
        <w:tc>
          <w:tcPr>
            <w:tcW w:w="6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283"/>
        <w:jc w:val="left"/>
        <w:rPr/>
      </w:pPr>
      <w:r>
        <w:rPr/>
        <w:t xml:space="preserve">  </w:t>
      </w:r>
    </w:p>
    <w:p>
      <w:pPr>
        <w:pStyle w:val="TextBody"/>
        <w:bidi w:val="0"/>
        <w:spacing w:before="0" w:after="0"/>
        <w:ind w:left="0" w:right="0" w:hanging="0"/>
        <w:jc w:val="both"/>
        <w:rPr/>
      </w:pPr>
      <w:r>
        <w:rPr>
          <w:rStyle w:val="Emphasis"/>
          <w:rFonts w:ascii="Times New Roman" w:hAnsi="Times New Roman"/>
          <w:b/>
          <w:caps w:val="false"/>
          <w:smallCaps w:val="false"/>
          <w:sz w:val="20"/>
        </w:rPr>
        <w:t>15.</w:t>
      </w:r>
      <w:r>
        <w:rPr>
          <w:rFonts w:ascii="Times New Roman" w:hAnsi="Times New Roman"/>
          <w:b/>
          <w:caps w:val="false"/>
          <w:smallCaps w:val="false"/>
          <w:sz w:val="20"/>
        </w:rPr>
        <w:t xml:space="preserve"> SUPPLEMENTAL DISCLOSURES OF CASH FLOW INFORMATION</w:t>
      </w:r>
    </w:p>
    <w:p>
      <w:pPr>
        <w:pStyle w:val="TextBody"/>
        <w:bidi w:val="0"/>
        <w:spacing w:before="0" w:after="0"/>
        <w:ind w:left="0" w:right="0" w:hanging="0"/>
        <w:jc w:val="left"/>
        <w:rPr>
          <w:caps w:val="false"/>
          <w:smallCaps w:val="false"/>
        </w:rPr>
      </w:pPr>
      <w:r>
        <w:rPr>
          <w:caps w:val="false"/>
          <w:smallCaps w:val="false"/>
        </w:rPr>
        <w:t> </w:t>
      </w:r>
    </w:p>
    <w:tbl>
      <w:tblPr>
        <w:tblW w:w="8845" w:type="dxa"/>
        <w:jc w:val="left"/>
        <w:tblInd w:w="0" w:type="dxa"/>
        <w:tblLayout w:type="fixed"/>
        <w:tblCellMar>
          <w:top w:w="0" w:type="dxa"/>
          <w:left w:w="0" w:type="dxa"/>
          <w:bottom w:w="0" w:type="dxa"/>
          <w:right w:w="0" w:type="dxa"/>
        </w:tblCellMar>
      </w:tblPr>
      <w:tblGrid>
        <w:gridCol w:w="5240"/>
        <w:gridCol w:w="60"/>
        <w:gridCol w:w="308"/>
        <w:gridCol w:w="1346"/>
        <w:gridCol w:w="90"/>
        <w:gridCol w:w="67"/>
        <w:gridCol w:w="308"/>
        <w:gridCol w:w="1346"/>
        <w:gridCol w:w="80"/>
      </w:tblGrid>
      <w:tr>
        <w:trPr/>
        <w:tc>
          <w:tcPr>
            <w:tcW w:w="524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3465"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Nine Months Ended</w:t>
            </w:r>
          </w:p>
        </w:tc>
        <w:tc>
          <w:tcPr>
            <w:tcW w:w="80" w:type="dxa"/>
            <w:tcBorders/>
            <w:shd w:fill="FFFFFF" w:val="clear"/>
            <w:vAlign w:val="center"/>
          </w:tcPr>
          <w:p>
            <w:pPr>
              <w:pStyle w:val="TableContents"/>
              <w:bidi w:val="0"/>
              <w:spacing w:before="0" w:after="283"/>
              <w:jc w:val="left"/>
              <w:rPr/>
            </w:pPr>
            <w:r>
              <w:rPr/>
              <w:t> </w:t>
            </w:r>
          </w:p>
        </w:tc>
      </w:tr>
      <w:tr>
        <w:trPr/>
        <w:tc>
          <w:tcPr>
            <w:tcW w:w="524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654"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September 30, 2025</w:t>
            </w:r>
          </w:p>
        </w:tc>
        <w:tc>
          <w:tcPr>
            <w:tcW w:w="90" w:type="dxa"/>
            <w:tcBorders/>
            <w:shd w:fill="FFFFFF" w:val="clear"/>
            <w:vAlign w:val="center"/>
          </w:tcPr>
          <w:p>
            <w:pPr>
              <w:pStyle w:val="TableContents"/>
              <w:bidi w:val="0"/>
              <w:spacing w:before="0" w:after="283"/>
              <w:jc w:val="left"/>
              <w:rPr/>
            </w:pPr>
            <w:r>
              <w:rPr/>
              <w:t> </w:t>
            </w:r>
          </w:p>
        </w:tc>
        <w:tc>
          <w:tcPr>
            <w:tcW w:w="67" w:type="dxa"/>
            <w:tcBorders/>
            <w:shd w:fill="FFFFFF" w:val="clear"/>
            <w:vAlign w:val="center"/>
          </w:tcPr>
          <w:p>
            <w:pPr>
              <w:pStyle w:val="TableContents"/>
              <w:bidi w:val="0"/>
              <w:spacing w:before="0" w:after="283"/>
              <w:ind w:left="0" w:right="0" w:hanging="0"/>
              <w:jc w:val="left"/>
              <w:rPr/>
            </w:pPr>
            <w:r>
              <w:rPr/>
              <w:t> </w:t>
            </w:r>
          </w:p>
        </w:tc>
        <w:tc>
          <w:tcPr>
            <w:tcW w:w="1654"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September 30, 2024</w:t>
            </w:r>
          </w:p>
        </w:tc>
        <w:tc>
          <w:tcPr>
            <w:tcW w:w="80" w:type="dxa"/>
            <w:tcBorders/>
            <w:shd w:fill="FFFFFF" w:val="clear"/>
            <w:vAlign w:val="center"/>
          </w:tcPr>
          <w:p>
            <w:pPr>
              <w:pStyle w:val="TableContents"/>
              <w:bidi w:val="0"/>
              <w:spacing w:before="0" w:after="283"/>
              <w:jc w:val="left"/>
              <w:rPr/>
            </w:pPr>
            <w:r>
              <w:rPr/>
              <w:t> </w:t>
            </w:r>
          </w:p>
        </w:tc>
      </w:tr>
      <w:tr>
        <w:trPr/>
        <w:tc>
          <w:tcPr>
            <w:tcW w:w="524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3465" w:type="dxa"/>
            <w:gridSpan w:val="6"/>
            <w:tcBorders/>
            <w:shd w:fill="FFFFFF" w:val="cle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(in thousands)</w:t>
            </w:r>
          </w:p>
        </w:tc>
        <w:tc>
          <w:tcPr>
            <w:tcW w:w="80" w:type="dxa"/>
            <w:tcBorders/>
            <w:shd w:fill="FFFFFF" w:val="clear"/>
            <w:vAlign w:val="center"/>
          </w:tcPr>
          <w:p>
            <w:pPr>
              <w:pStyle w:val="TableContents"/>
              <w:bidi w:val="0"/>
              <w:spacing w:before="0" w:after="283"/>
              <w:jc w:val="left"/>
              <w:rPr/>
            </w:pPr>
            <w:r>
              <w:rPr/>
              <w:t> </w:t>
            </w:r>
          </w:p>
        </w:tc>
      </w:tr>
      <w:tr>
        <w:trPr/>
        <w:tc>
          <w:tcPr>
            <w:tcW w:w="524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Cash paid for interest</w:t>
            </w:r>
          </w:p>
        </w:tc>
        <w:tc>
          <w:tcPr>
            <w:tcW w:w="60" w:type="dxa"/>
            <w:tcBorders/>
            <w:shd w:fill="CCEEFF" w:val="clear"/>
            <w:vAlign w:val="center"/>
          </w:tcPr>
          <w:p>
            <w:pPr>
              <w:pStyle w:val="TableContents"/>
              <w:bidi w:val="0"/>
              <w:spacing w:before="0" w:after="283"/>
              <w:ind w:left="0" w:right="0" w:hanging="0"/>
              <w:jc w:val="left"/>
              <w:rPr/>
            </w:pPr>
            <w:r>
              <w:rPr/>
              <w:t> </w:t>
            </w:r>
          </w:p>
        </w:tc>
        <w:tc>
          <w:tcPr>
            <w:tcW w:w="308"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34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90" w:type="dxa"/>
            <w:tcBorders/>
            <w:shd w:fill="CCEEFF" w:val="clear"/>
            <w:vAlign w:val="center"/>
          </w:tcPr>
          <w:p>
            <w:pPr>
              <w:pStyle w:val="TableContents"/>
              <w:bidi w:val="0"/>
              <w:spacing w:before="0" w:after="283"/>
              <w:jc w:val="left"/>
              <w:rPr/>
            </w:pPr>
            <w:r>
              <w:rPr/>
              <w:t> </w:t>
            </w:r>
          </w:p>
        </w:tc>
        <w:tc>
          <w:tcPr>
            <w:tcW w:w="67" w:type="dxa"/>
            <w:tcBorders/>
            <w:shd w:fill="CCEEFF" w:val="clear"/>
            <w:vAlign w:val="center"/>
          </w:tcPr>
          <w:p>
            <w:pPr>
              <w:pStyle w:val="TableContents"/>
              <w:bidi w:val="0"/>
              <w:spacing w:before="0" w:after="283"/>
              <w:ind w:left="0" w:right="0" w:hanging="0"/>
              <w:jc w:val="left"/>
              <w:rPr/>
            </w:pPr>
            <w:r>
              <w:rPr/>
              <w:t> </w:t>
            </w:r>
          </w:p>
        </w:tc>
        <w:tc>
          <w:tcPr>
            <w:tcW w:w="308"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34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(511</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5240" w:type="dxa"/>
            <w:tcBorders/>
            <w:shd w:fill="FFFF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Cash received for income taxes</w:t>
            </w:r>
          </w:p>
        </w:tc>
        <w:tc>
          <w:tcPr>
            <w:tcW w:w="60" w:type="dxa"/>
            <w:tcBorders/>
            <w:shd w:fill="FFFFFF" w:val="clear"/>
            <w:vAlign w:val="center"/>
          </w:tcPr>
          <w:p>
            <w:pPr>
              <w:pStyle w:val="TableContents"/>
              <w:bidi w:val="0"/>
              <w:spacing w:before="0" w:after="283"/>
              <w:jc w:val="left"/>
              <w:rPr/>
            </w:pPr>
            <w:r>
              <w:rPr/>
              <w:t> </w:t>
            </w:r>
          </w:p>
        </w:tc>
        <w:tc>
          <w:tcPr>
            <w:tcW w:w="308" w:type="dxa"/>
            <w:tcBorders/>
            <w:shd w:fill="FFFFFF" w:val="clear"/>
            <w:vAlign w:val="center"/>
          </w:tcPr>
          <w:p>
            <w:pPr>
              <w:pStyle w:val="TableContents"/>
              <w:bidi w:val="0"/>
              <w:spacing w:before="0" w:after="283"/>
              <w:jc w:val="left"/>
              <w:rPr/>
            </w:pPr>
            <w:r>
              <w:rPr/>
              <w:t> </w:t>
            </w:r>
          </w:p>
        </w:tc>
        <w:tc>
          <w:tcPr>
            <w:tcW w:w="1346"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90" w:type="dxa"/>
            <w:tcBorders/>
            <w:shd w:fill="FFFFFF" w:val="clear"/>
            <w:vAlign w:val="center"/>
          </w:tcPr>
          <w:p>
            <w:pPr>
              <w:pStyle w:val="TableContents"/>
              <w:bidi w:val="0"/>
              <w:spacing w:before="0" w:after="283"/>
              <w:jc w:val="left"/>
              <w:rPr/>
            </w:pPr>
            <w:r>
              <w:rPr/>
              <w:t> </w:t>
            </w:r>
          </w:p>
        </w:tc>
        <w:tc>
          <w:tcPr>
            <w:tcW w:w="67" w:type="dxa"/>
            <w:tcBorders/>
            <w:shd w:fill="FFFFFF" w:val="clear"/>
            <w:vAlign w:val="center"/>
          </w:tcPr>
          <w:p>
            <w:pPr>
              <w:pStyle w:val="TableContents"/>
              <w:bidi w:val="0"/>
              <w:spacing w:before="0" w:after="283"/>
              <w:jc w:val="left"/>
              <w:rPr/>
            </w:pPr>
            <w:r>
              <w:rPr/>
              <w:t> </w:t>
            </w:r>
          </w:p>
        </w:tc>
        <w:tc>
          <w:tcPr>
            <w:tcW w:w="308" w:type="dxa"/>
            <w:tcBorders/>
            <w:shd w:fill="FFFFFF" w:val="clear"/>
            <w:vAlign w:val="center"/>
          </w:tcPr>
          <w:p>
            <w:pPr>
              <w:pStyle w:val="TableContents"/>
              <w:bidi w:val="0"/>
              <w:spacing w:before="0" w:after="283"/>
              <w:jc w:val="left"/>
              <w:rPr/>
            </w:pPr>
            <w:r>
              <w:rPr/>
              <w:t> </w:t>
            </w:r>
          </w:p>
        </w:tc>
        <w:tc>
          <w:tcPr>
            <w:tcW w:w="1346"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(70</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524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08" w:type="dxa"/>
            <w:tcBorders/>
            <w:shd w:fill="CCEEFF" w:val="clear"/>
            <w:vAlign w:val="center"/>
          </w:tcPr>
          <w:p>
            <w:pPr>
              <w:pStyle w:val="TableContents"/>
              <w:bidi w:val="0"/>
              <w:spacing w:before="0" w:after="283"/>
              <w:jc w:val="left"/>
              <w:rPr/>
            </w:pPr>
            <w:r>
              <w:rPr/>
              <w:t> </w:t>
            </w:r>
          </w:p>
        </w:tc>
        <w:tc>
          <w:tcPr>
            <w:tcW w:w="1346"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67" w:type="dxa"/>
            <w:tcBorders/>
            <w:shd w:fill="CCEEFF" w:val="clear"/>
            <w:vAlign w:val="center"/>
          </w:tcPr>
          <w:p>
            <w:pPr>
              <w:pStyle w:val="TableContents"/>
              <w:bidi w:val="0"/>
              <w:spacing w:before="0" w:after="283"/>
              <w:jc w:val="left"/>
              <w:rPr/>
            </w:pPr>
            <w:r>
              <w:rPr/>
              <w:t> </w:t>
            </w:r>
          </w:p>
        </w:tc>
        <w:tc>
          <w:tcPr>
            <w:tcW w:w="308" w:type="dxa"/>
            <w:tcBorders/>
            <w:shd w:fill="CCEEFF" w:val="clear"/>
            <w:vAlign w:val="center"/>
          </w:tcPr>
          <w:p>
            <w:pPr>
              <w:pStyle w:val="TableContents"/>
              <w:bidi w:val="0"/>
              <w:spacing w:before="0" w:after="283"/>
              <w:jc w:val="left"/>
              <w:rPr/>
            </w:pPr>
            <w:r>
              <w:rPr/>
              <w:t> </w:t>
            </w:r>
          </w:p>
        </w:tc>
        <w:tc>
          <w:tcPr>
            <w:tcW w:w="1346"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r>
      <w:tr>
        <w:trPr/>
        <w:tc>
          <w:tcPr>
            <w:tcW w:w="5240" w:type="dxa"/>
            <w:tcBorders/>
            <w:shd w:fill="FFFF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Investing activities:</w:t>
            </w:r>
          </w:p>
        </w:tc>
        <w:tc>
          <w:tcPr>
            <w:tcW w:w="60" w:type="dxa"/>
            <w:tcBorders/>
            <w:shd w:fill="FFFFFF" w:val="clear"/>
            <w:vAlign w:val="center"/>
          </w:tcPr>
          <w:p>
            <w:pPr>
              <w:pStyle w:val="TableContents"/>
              <w:bidi w:val="0"/>
              <w:spacing w:before="0" w:after="283"/>
              <w:jc w:val="left"/>
              <w:rPr/>
            </w:pPr>
            <w:r>
              <w:rPr/>
              <w:t> </w:t>
            </w:r>
          </w:p>
        </w:tc>
        <w:tc>
          <w:tcPr>
            <w:tcW w:w="308" w:type="dxa"/>
            <w:tcBorders/>
            <w:shd w:fill="FFFFFF" w:val="clear"/>
            <w:vAlign w:val="center"/>
          </w:tcPr>
          <w:p>
            <w:pPr>
              <w:pStyle w:val="TableContents"/>
              <w:bidi w:val="0"/>
              <w:spacing w:before="0" w:after="283"/>
              <w:jc w:val="left"/>
              <w:rPr/>
            </w:pPr>
            <w:r>
              <w:rPr/>
              <w:t> </w:t>
            </w:r>
          </w:p>
        </w:tc>
        <w:tc>
          <w:tcPr>
            <w:tcW w:w="1346"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67" w:type="dxa"/>
            <w:tcBorders/>
            <w:shd w:fill="FFFFFF" w:val="clear"/>
            <w:vAlign w:val="center"/>
          </w:tcPr>
          <w:p>
            <w:pPr>
              <w:pStyle w:val="TableContents"/>
              <w:bidi w:val="0"/>
              <w:spacing w:before="0" w:after="283"/>
              <w:jc w:val="left"/>
              <w:rPr/>
            </w:pPr>
            <w:r>
              <w:rPr/>
              <w:t> </w:t>
            </w:r>
          </w:p>
        </w:tc>
        <w:tc>
          <w:tcPr>
            <w:tcW w:w="308" w:type="dxa"/>
            <w:tcBorders/>
            <w:shd w:fill="FFFFFF" w:val="clear"/>
            <w:vAlign w:val="center"/>
          </w:tcPr>
          <w:p>
            <w:pPr>
              <w:pStyle w:val="TableContents"/>
              <w:bidi w:val="0"/>
              <w:spacing w:before="0" w:after="283"/>
              <w:jc w:val="left"/>
              <w:rPr/>
            </w:pPr>
            <w:r>
              <w:rPr/>
              <w:t> </w:t>
            </w:r>
          </w:p>
        </w:tc>
        <w:tc>
          <w:tcPr>
            <w:tcW w:w="1346"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r>
      <w:tr>
        <w:trPr/>
        <w:tc>
          <w:tcPr>
            <w:tcW w:w="524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Change in capital expenditure accruals</w:t>
            </w:r>
          </w:p>
        </w:tc>
        <w:tc>
          <w:tcPr>
            <w:tcW w:w="60" w:type="dxa"/>
            <w:tcBorders/>
            <w:shd w:fill="CCEEFF" w:val="clear"/>
            <w:vAlign w:val="center"/>
          </w:tcPr>
          <w:p>
            <w:pPr>
              <w:pStyle w:val="TableContents"/>
              <w:bidi w:val="0"/>
              <w:spacing w:before="0" w:after="283"/>
              <w:jc w:val="left"/>
              <w:rPr/>
            </w:pPr>
            <w:r>
              <w:rPr/>
              <w:t> </w:t>
            </w:r>
          </w:p>
        </w:tc>
        <w:tc>
          <w:tcPr>
            <w:tcW w:w="308" w:type="dxa"/>
            <w:tcBorders/>
            <w:shd w:fill="CCEEFF" w:val="clear"/>
            <w:vAlign w:val="center"/>
          </w:tcPr>
          <w:p>
            <w:pPr>
              <w:pStyle w:val="TableContents"/>
              <w:bidi w:val="0"/>
              <w:spacing w:before="0" w:after="283"/>
              <w:jc w:val="left"/>
              <w:rPr/>
            </w:pPr>
            <w:r>
              <w:rPr/>
              <w:t> </w:t>
            </w:r>
          </w:p>
        </w:tc>
        <w:tc>
          <w:tcPr>
            <w:tcW w:w="1346"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(305</w:t>
            </w:r>
          </w:p>
        </w:tc>
        <w:tc>
          <w:tcPr>
            <w:tcW w:w="9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7" w:type="dxa"/>
            <w:tcBorders/>
            <w:shd w:fill="CCEEFF" w:val="clear"/>
            <w:vAlign w:val="center"/>
          </w:tcPr>
          <w:p>
            <w:pPr>
              <w:pStyle w:val="TableContents"/>
              <w:bidi w:val="0"/>
              <w:spacing w:before="0" w:after="283"/>
              <w:jc w:val="left"/>
              <w:rPr/>
            </w:pPr>
            <w:r>
              <w:rPr/>
              <w:t> </w:t>
            </w:r>
          </w:p>
        </w:tc>
        <w:tc>
          <w:tcPr>
            <w:tcW w:w="308" w:type="dxa"/>
            <w:tcBorders/>
            <w:shd w:fill="CCEEFF" w:val="clear"/>
            <w:vAlign w:val="center"/>
          </w:tcPr>
          <w:p>
            <w:pPr>
              <w:pStyle w:val="TableContents"/>
              <w:bidi w:val="0"/>
              <w:spacing w:before="0" w:after="283"/>
              <w:jc w:val="left"/>
              <w:rPr/>
            </w:pPr>
            <w:r>
              <w:rPr/>
              <w:t> </w:t>
            </w:r>
          </w:p>
        </w:tc>
        <w:tc>
          <w:tcPr>
            <w:tcW w:w="1346"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(287</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5240" w:type="dxa"/>
            <w:tcBorders/>
            <w:shd w:fill="FFFF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Common stock issued for acquisition of industrial gas properties</w:t>
            </w:r>
          </w:p>
        </w:tc>
        <w:tc>
          <w:tcPr>
            <w:tcW w:w="60" w:type="dxa"/>
            <w:tcBorders/>
            <w:shd w:fill="FFFFFF" w:val="clear"/>
            <w:vAlign w:val="center"/>
          </w:tcPr>
          <w:p>
            <w:pPr>
              <w:pStyle w:val="TableContents"/>
              <w:bidi w:val="0"/>
              <w:spacing w:before="0" w:after="283"/>
              <w:jc w:val="left"/>
              <w:rPr/>
            </w:pPr>
            <w:r>
              <w:rPr/>
              <w:t> </w:t>
            </w:r>
          </w:p>
        </w:tc>
        <w:tc>
          <w:tcPr>
            <w:tcW w:w="308" w:type="dxa"/>
            <w:tcBorders/>
            <w:shd w:fill="FFFFFF" w:val="clear"/>
            <w:vAlign w:val="center"/>
          </w:tcPr>
          <w:p>
            <w:pPr>
              <w:pStyle w:val="TableContents"/>
              <w:bidi w:val="0"/>
              <w:spacing w:before="0" w:after="283"/>
              <w:jc w:val="left"/>
              <w:rPr/>
            </w:pPr>
            <w:r>
              <w:rPr/>
              <w:t> </w:t>
            </w:r>
          </w:p>
        </w:tc>
        <w:tc>
          <w:tcPr>
            <w:tcW w:w="1346"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(2,632</w:t>
            </w:r>
          </w:p>
        </w:tc>
        <w:tc>
          <w:tcPr>
            <w:tcW w:w="9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7" w:type="dxa"/>
            <w:tcBorders/>
            <w:shd w:fill="FFFFFF" w:val="clear"/>
            <w:vAlign w:val="center"/>
          </w:tcPr>
          <w:p>
            <w:pPr>
              <w:pStyle w:val="TableContents"/>
              <w:bidi w:val="0"/>
              <w:spacing w:before="0" w:after="283"/>
              <w:jc w:val="left"/>
              <w:rPr/>
            </w:pPr>
            <w:r>
              <w:rPr/>
              <w:t> </w:t>
            </w:r>
          </w:p>
        </w:tc>
        <w:tc>
          <w:tcPr>
            <w:tcW w:w="308" w:type="dxa"/>
            <w:tcBorders/>
            <w:shd w:fill="FFFFFF" w:val="clear"/>
            <w:vAlign w:val="center"/>
          </w:tcPr>
          <w:p>
            <w:pPr>
              <w:pStyle w:val="TableContents"/>
              <w:bidi w:val="0"/>
              <w:spacing w:before="0" w:after="283"/>
              <w:jc w:val="left"/>
              <w:rPr/>
            </w:pPr>
            <w:r>
              <w:rPr/>
              <w:t> </w:t>
            </w:r>
          </w:p>
        </w:tc>
        <w:tc>
          <w:tcPr>
            <w:tcW w:w="1346"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(2,678</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524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Asset retirement obligations</w:t>
            </w:r>
          </w:p>
        </w:tc>
        <w:tc>
          <w:tcPr>
            <w:tcW w:w="60" w:type="dxa"/>
            <w:tcBorders/>
            <w:shd w:fill="CCEEFF" w:val="clear"/>
            <w:vAlign w:val="center"/>
          </w:tcPr>
          <w:p>
            <w:pPr>
              <w:pStyle w:val="TableContents"/>
              <w:bidi w:val="0"/>
              <w:spacing w:before="0" w:after="283"/>
              <w:jc w:val="left"/>
              <w:rPr/>
            </w:pPr>
            <w:r>
              <w:rPr/>
              <w:t> </w:t>
            </w:r>
          </w:p>
        </w:tc>
        <w:tc>
          <w:tcPr>
            <w:tcW w:w="308" w:type="dxa"/>
            <w:tcBorders/>
            <w:shd w:fill="CCEEFF" w:val="clear"/>
            <w:vAlign w:val="center"/>
          </w:tcPr>
          <w:p>
            <w:pPr>
              <w:pStyle w:val="TableContents"/>
              <w:bidi w:val="0"/>
              <w:spacing w:before="0" w:after="283"/>
              <w:ind w:left="0" w:right="0" w:hanging="0"/>
              <w:jc w:val="left"/>
              <w:rPr/>
            </w:pPr>
            <w:r>
              <w:rPr/>
              <w:t> </w:t>
            </w:r>
          </w:p>
        </w:tc>
        <w:tc>
          <w:tcPr>
            <w:tcW w:w="134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(1,900</w:t>
            </w:r>
          </w:p>
        </w:tc>
        <w:tc>
          <w:tcPr>
            <w:tcW w:w="9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7" w:type="dxa"/>
            <w:tcBorders/>
            <w:shd w:fill="CCEEFF" w:val="clear"/>
            <w:vAlign w:val="center"/>
          </w:tcPr>
          <w:p>
            <w:pPr>
              <w:pStyle w:val="TableContents"/>
              <w:bidi w:val="0"/>
              <w:spacing w:before="0" w:after="283"/>
              <w:jc w:val="left"/>
              <w:rPr/>
            </w:pPr>
            <w:r>
              <w:rPr/>
              <w:t> </w:t>
            </w:r>
          </w:p>
        </w:tc>
        <w:tc>
          <w:tcPr>
            <w:tcW w:w="308" w:type="dxa"/>
            <w:tcBorders/>
            <w:shd w:fill="CCEEFF" w:val="clear"/>
            <w:vAlign w:val="center"/>
          </w:tcPr>
          <w:p>
            <w:pPr>
              <w:pStyle w:val="TableContents"/>
              <w:bidi w:val="0"/>
              <w:spacing w:before="0" w:after="283"/>
              <w:ind w:left="0" w:right="0" w:hanging="0"/>
              <w:jc w:val="left"/>
              <w:rPr/>
            </w:pPr>
            <w:r>
              <w:rPr/>
              <w:t> </w:t>
            </w:r>
          </w:p>
        </w:tc>
        <w:tc>
          <w:tcPr>
            <w:tcW w:w="134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(1,680</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5240" w:type="dxa"/>
            <w:tcBorders/>
            <w:shd w:fill="FFFF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Financing activities:</w:t>
            </w:r>
          </w:p>
        </w:tc>
        <w:tc>
          <w:tcPr>
            <w:tcW w:w="60" w:type="dxa"/>
            <w:tcBorders/>
            <w:shd w:fill="FFFFFF" w:val="clear"/>
            <w:vAlign w:val="center"/>
          </w:tcPr>
          <w:p>
            <w:pPr>
              <w:pStyle w:val="TableContents"/>
              <w:bidi w:val="0"/>
              <w:spacing w:before="0" w:after="283"/>
              <w:jc w:val="left"/>
              <w:rPr/>
            </w:pPr>
            <w:r>
              <w:rPr/>
              <w:t> </w:t>
            </w:r>
          </w:p>
        </w:tc>
        <w:tc>
          <w:tcPr>
            <w:tcW w:w="308" w:type="dxa"/>
            <w:tcBorders/>
            <w:shd w:fill="FFFFFF" w:val="clear"/>
            <w:vAlign w:val="center"/>
          </w:tcPr>
          <w:p>
            <w:pPr>
              <w:pStyle w:val="TableContents"/>
              <w:bidi w:val="0"/>
              <w:spacing w:before="0" w:after="283"/>
              <w:jc w:val="left"/>
              <w:rPr/>
            </w:pPr>
            <w:r>
              <w:rPr/>
              <w:t> </w:t>
            </w:r>
          </w:p>
        </w:tc>
        <w:tc>
          <w:tcPr>
            <w:tcW w:w="1346"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67" w:type="dxa"/>
            <w:tcBorders/>
            <w:shd w:fill="FFFFFF" w:val="clear"/>
            <w:vAlign w:val="center"/>
          </w:tcPr>
          <w:p>
            <w:pPr>
              <w:pStyle w:val="TableContents"/>
              <w:bidi w:val="0"/>
              <w:spacing w:before="0" w:after="283"/>
              <w:jc w:val="left"/>
              <w:rPr/>
            </w:pPr>
            <w:r>
              <w:rPr/>
              <w:t> </w:t>
            </w:r>
          </w:p>
        </w:tc>
        <w:tc>
          <w:tcPr>
            <w:tcW w:w="308" w:type="dxa"/>
            <w:tcBorders/>
            <w:shd w:fill="FFFFFF" w:val="clear"/>
            <w:vAlign w:val="center"/>
          </w:tcPr>
          <w:p>
            <w:pPr>
              <w:pStyle w:val="TableContents"/>
              <w:bidi w:val="0"/>
              <w:spacing w:before="0" w:after="283"/>
              <w:jc w:val="left"/>
              <w:rPr/>
            </w:pPr>
            <w:r>
              <w:rPr/>
              <w:t> </w:t>
            </w:r>
          </w:p>
        </w:tc>
        <w:tc>
          <w:tcPr>
            <w:tcW w:w="1346"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r>
      <w:tr>
        <w:trPr/>
        <w:tc>
          <w:tcPr>
            <w:tcW w:w="524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Accrual for repurchase of common stock</w:t>
            </w:r>
          </w:p>
        </w:tc>
        <w:tc>
          <w:tcPr>
            <w:tcW w:w="60" w:type="dxa"/>
            <w:tcBorders/>
            <w:shd w:fill="CCEEFF" w:val="clear"/>
            <w:vAlign w:val="center"/>
          </w:tcPr>
          <w:p>
            <w:pPr>
              <w:pStyle w:val="TableContents"/>
              <w:bidi w:val="0"/>
              <w:spacing w:before="0" w:after="283"/>
              <w:jc w:val="left"/>
              <w:rPr/>
            </w:pPr>
            <w:r>
              <w:rPr/>
              <w:t> </w:t>
            </w:r>
          </w:p>
        </w:tc>
        <w:tc>
          <w:tcPr>
            <w:tcW w:w="308" w:type="dxa"/>
            <w:tcBorders/>
            <w:shd w:fill="CCEEFF" w:val="clear"/>
            <w:vAlign w:val="center"/>
          </w:tcPr>
          <w:p>
            <w:pPr>
              <w:pStyle w:val="TableContents"/>
              <w:bidi w:val="0"/>
              <w:spacing w:before="0" w:after="283"/>
              <w:jc w:val="left"/>
              <w:rPr/>
            </w:pPr>
            <w:r>
              <w:rPr/>
              <w:t> </w:t>
            </w:r>
          </w:p>
        </w:tc>
        <w:tc>
          <w:tcPr>
            <w:tcW w:w="1346"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90" w:type="dxa"/>
            <w:tcBorders/>
            <w:shd w:fill="CCEEFF" w:val="clear"/>
            <w:vAlign w:val="center"/>
          </w:tcPr>
          <w:p>
            <w:pPr>
              <w:pStyle w:val="TableContents"/>
              <w:bidi w:val="0"/>
              <w:spacing w:before="0" w:after="283"/>
              <w:jc w:val="left"/>
              <w:rPr/>
            </w:pPr>
            <w:r>
              <w:rPr/>
              <w:t> </w:t>
            </w:r>
          </w:p>
        </w:tc>
        <w:tc>
          <w:tcPr>
            <w:tcW w:w="67" w:type="dxa"/>
            <w:tcBorders/>
            <w:shd w:fill="CCEEFF" w:val="clear"/>
            <w:vAlign w:val="center"/>
          </w:tcPr>
          <w:p>
            <w:pPr>
              <w:pStyle w:val="TableContents"/>
              <w:bidi w:val="0"/>
              <w:spacing w:before="0" w:after="283"/>
              <w:jc w:val="left"/>
              <w:rPr/>
            </w:pPr>
            <w:r>
              <w:rPr/>
              <w:t> </w:t>
            </w:r>
          </w:p>
        </w:tc>
        <w:tc>
          <w:tcPr>
            <w:tcW w:w="308" w:type="dxa"/>
            <w:tcBorders/>
            <w:shd w:fill="CCEEFF" w:val="clear"/>
            <w:vAlign w:val="center"/>
          </w:tcPr>
          <w:p>
            <w:pPr>
              <w:pStyle w:val="TableContents"/>
              <w:bidi w:val="0"/>
              <w:spacing w:before="0" w:after="283"/>
              <w:jc w:val="left"/>
              <w:rPr/>
            </w:pPr>
            <w:r>
              <w:rPr/>
              <w:t> </w:t>
            </w:r>
          </w:p>
        </w:tc>
        <w:tc>
          <w:tcPr>
            <w:tcW w:w="1346"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58</w:t>
            </w:r>
          </w:p>
        </w:tc>
        <w:tc>
          <w:tcPr>
            <w:tcW w:w="8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283"/>
        <w:jc w:val="left"/>
        <w:rPr/>
      </w:pPr>
      <w:r>
        <w:rPr/>
        <w:t xml:space="preserve">  </w:t>
      </w:r>
    </w:p>
    <w:p>
      <w:pPr>
        <w:pStyle w:val="TextBody"/>
        <w:bidi w:val="0"/>
        <w:spacing w:before="0" w:after="0"/>
        <w:ind w:left="0" w:right="0" w:hanging="0"/>
        <w:jc w:val="both"/>
        <w:rPr/>
      </w:pPr>
      <w:r>
        <w:rPr>
          <w:rStyle w:val="Emphasis"/>
          <w:rFonts w:ascii="Times New Roman" w:hAnsi="Times New Roman"/>
          <w:b/>
          <w:caps w:val="false"/>
          <w:smallCaps w:val="false"/>
          <w:sz w:val="20"/>
        </w:rPr>
        <w:t>16.</w:t>
      </w:r>
      <w:r>
        <w:rPr>
          <w:rFonts w:ascii="Times New Roman" w:hAnsi="Times New Roman"/>
          <w:b/>
          <w:caps w:val="false"/>
          <w:smallCaps w:val="false"/>
          <w:sz w:val="20"/>
        </w:rPr>
        <w:t xml:space="preserve"> SUBSEQUENT EVENTS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Expected Write-Down of Oil and Natural Gas Properties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caps w:val="false"/>
          <w:smallCaps w:val="false"/>
          <w:sz w:val="20"/>
        </w:rPr>
        <w:t>Under the full-cost method of accounting, the net book value of proved oil and natural gas properties, less related deferred income taxes, </w:t>
      </w:r>
      <w:r>
        <w:rPr>
          <w:rStyle w:val="Emphasis"/>
          <w:rFonts w:ascii="Times New Roman" w:hAnsi="Times New Roman"/>
          <w:caps w:val="false"/>
          <w:smallCaps w:val="false"/>
          <w:sz w:val="20"/>
        </w:rPr>
        <w:t xml:space="preserve"> may not</w:t>
      </w:r>
      <w:r>
        <w:rPr>
          <w:rFonts w:ascii="Times New Roman" w:hAnsi="Times New Roman"/>
          <w:caps w:val="false"/>
          <w:smallCaps w:val="false"/>
          <w:sz w:val="20"/>
        </w:rPr>
        <w:t> exceed a calculated “ceiling.” The ceiling limitation is the estimated after-tax future net cash flows from proved oil and natural gas reserves. Estimated future net cash flows are calculated using the unweighted arithmetic average of commodity prices in effect on the </w:t>
      </w:r>
      <w:r>
        <w:rPr>
          <w:rStyle w:val="Emphasis"/>
          <w:rFonts w:ascii="Times New Roman" w:hAnsi="Times New Roman"/>
          <w:caps w:val="false"/>
          <w:smallCaps w:val="false"/>
          <w:sz w:val="20"/>
        </w:rPr>
        <w:t>first</w:t>
      </w:r>
      <w:r>
        <w:rPr>
          <w:rFonts w:ascii="Times New Roman" w:hAnsi="Times New Roman"/>
          <w:caps w:val="false"/>
          <w:smallCaps w:val="false"/>
          <w:sz w:val="20"/>
        </w:rPr>
        <w:t> day of each of the previous </w:t>
      </w:r>
      <w:r>
        <w:rPr>
          <w:rStyle w:val="Emphasis"/>
          <w:rFonts w:ascii="Times New Roman" w:hAnsi="Times New Roman"/>
          <w:caps w:val="false"/>
          <w:smallCaps w:val="false"/>
          <w:sz w:val="20"/>
        </w:rPr>
        <w:t>12</w:t>
      </w:r>
      <w:r>
        <w:rPr>
          <w:rFonts w:ascii="Times New Roman" w:hAnsi="Times New Roman"/>
          <w:caps w:val="false"/>
          <w:smallCaps w:val="false"/>
          <w:sz w:val="20"/>
        </w:rPr>
        <w:t> months, adjusted for location and quality differentials, held flat for the life of the production (except where prices are defined by contractual arrangements), less estimated operating costs, production taxes and future development costs, all discounted at </w:t>
      </w:r>
      <w:r>
        <w:rPr>
          <w:rStyle w:val="Emphasis"/>
          <w:rFonts w:ascii="Times New Roman" w:hAnsi="Times New Roman"/>
          <w:caps w:val="false"/>
          <w:smallCaps w:val="false"/>
          <w:sz w:val="20"/>
        </w:rPr>
        <w:t>10</w:t>
      </w:r>
      <w:r>
        <w:rPr>
          <w:rFonts w:ascii="Times New Roman" w:hAnsi="Times New Roman"/>
          <w:caps w:val="false"/>
          <w:smallCaps w:val="false"/>
          <w:sz w:val="20"/>
        </w:rPr>
        <w:t> percent per annum. Future cash outflows associated with settling accrued asset retirement obligations are excluded from the calculation.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caps w:val="false"/>
          <w:smallCaps w:val="false"/>
          <w:sz w:val="20"/>
        </w:rPr>
        <w:t xml:space="preserve">We expect to record a further write-down of our oil and natural gas properties in the </w:t>
      </w:r>
      <w:r>
        <w:rPr>
          <w:rStyle w:val="Emphasis"/>
          <w:rFonts w:ascii="Times New Roman" w:hAnsi="Times New Roman"/>
          <w:caps w:val="false"/>
          <w:smallCaps w:val="false"/>
          <w:sz w:val="20"/>
        </w:rPr>
        <w:t>fourth</w:t>
      </w:r>
      <w:r>
        <w:rPr>
          <w:rFonts w:ascii="Times New Roman" w:hAnsi="Times New Roman"/>
          <w:caps w:val="false"/>
          <w:smallCaps w:val="false"/>
          <w:sz w:val="20"/>
        </w:rPr>
        <w:t> quarter of </w:t>
      </w:r>
      <w:r>
        <w:rPr>
          <w:rStyle w:val="Emphasis"/>
          <w:rFonts w:ascii="Times New Roman" w:hAnsi="Times New Roman"/>
          <w:caps w:val="false"/>
          <w:smallCaps w:val="false"/>
          <w:sz w:val="20"/>
        </w:rPr>
        <w:t>2025</w:t>
      </w:r>
      <w:r>
        <w:rPr>
          <w:rFonts w:ascii="Times New Roman" w:hAnsi="Times New Roman"/>
          <w:caps w:val="false"/>
          <w:smallCaps w:val="false"/>
          <w:sz w:val="20"/>
        </w:rPr>
        <w:t xml:space="preserve"> due to lower commodity prices used in the calculation of the ceiling test as higher </w:t>
      </w:r>
      <w:r>
        <w:rPr>
          <w:rStyle w:val="Emphasis"/>
          <w:rFonts w:ascii="Times New Roman" w:hAnsi="Times New Roman"/>
          <w:caps w:val="false"/>
          <w:smallCaps w:val="false"/>
          <w:sz w:val="20"/>
        </w:rPr>
        <w:t>third</w:t>
      </w:r>
      <w:r>
        <w:rPr>
          <w:rFonts w:ascii="Times New Roman" w:hAnsi="Times New Roman"/>
          <w:caps w:val="false"/>
          <w:smallCaps w:val="false"/>
          <w:sz w:val="20"/>
        </w:rPr>
        <w:t> quarter </w:t>
      </w:r>
      <w:r>
        <w:rPr>
          <w:rStyle w:val="Emphasis"/>
          <w:rFonts w:ascii="Times New Roman" w:hAnsi="Times New Roman"/>
          <w:caps w:val="false"/>
          <w:smallCaps w:val="false"/>
          <w:sz w:val="20"/>
        </w:rPr>
        <w:t>2024</w:t>
      </w:r>
      <w:r>
        <w:rPr>
          <w:rFonts w:ascii="Times New Roman" w:hAnsi="Times New Roman"/>
          <w:caps w:val="false"/>
          <w:smallCaps w:val="false"/>
          <w:sz w:val="20"/>
        </w:rPr>
        <w:t xml:space="preserve"> commodity prices will be removed from the ceiling test calculation and replaced with what we expect to be lower </w:t>
      </w:r>
      <w:r>
        <w:rPr>
          <w:rStyle w:val="Emphasis"/>
          <w:rFonts w:ascii="Times New Roman" w:hAnsi="Times New Roman"/>
          <w:caps w:val="false"/>
          <w:smallCaps w:val="false"/>
          <w:sz w:val="20"/>
        </w:rPr>
        <w:t>fourth</w:t>
      </w:r>
      <w:r>
        <w:rPr>
          <w:rFonts w:ascii="Times New Roman" w:hAnsi="Times New Roman"/>
          <w:caps w:val="false"/>
          <w:smallCaps w:val="false"/>
          <w:sz w:val="20"/>
        </w:rPr>
        <w:t> quarter </w:t>
      </w:r>
      <w:r>
        <w:rPr>
          <w:rStyle w:val="Emphasis"/>
          <w:rFonts w:ascii="Times New Roman" w:hAnsi="Times New Roman"/>
          <w:caps w:val="false"/>
          <w:smallCaps w:val="false"/>
          <w:sz w:val="20"/>
        </w:rPr>
        <w:t>2025</w:t>
      </w:r>
      <w:r>
        <w:rPr>
          <w:rFonts w:ascii="Times New Roman" w:hAnsi="Times New Roman"/>
          <w:caps w:val="false"/>
          <w:smallCaps w:val="false"/>
          <w:sz w:val="20"/>
        </w:rPr>
        <w:t xml:space="preserve"> commodity prices. Depending on actual commodity prices, estimated price differentials, lease operating costs, revisions to reserve estimates, and the amount and timing of capital expenditures, the write-down could be approximately $0.8 million to $1.8 million in the </w:t>
      </w:r>
      <w:r>
        <w:rPr>
          <w:rStyle w:val="Emphasis"/>
          <w:rFonts w:ascii="Times New Roman" w:hAnsi="Times New Roman"/>
          <w:caps w:val="false"/>
          <w:smallCaps w:val="false"/>
          <w:sz w:val="20"/>
        </w:rPr>
        <w:t>fourth</w:t>
      </w:r>
      <w:r>
        <w:rPr>
          <w:rFonts w:ascii="Times New Roman" w:hAnsi="Times New Roman"/>
          <w:caps w:val="false"/>
          <w:smallCaps w:val="false"/>
          <w:sz w:val="20"/>
        </w:rPr>
        <w:t xml:space="preserve"> quarter of </w:t>
      </w:r>
      <w:r>
        <w:rPr>
          <w:rStyle w:val="Emphasis"/>
          <w:rFonts w:ascii="Times New Roman" w:hAnsi="Times New Roman"/>
          <w:caps w:val="false"/>
          <w:smallCaps w:val="false"/>
          <w:sz w:val="20"/>
        </w:rPr>
        <w:t>2025.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Credit Facility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caps w:val="false"/>
          <w:smallCaps w:val="false"/>
          <w:sz w:val="20"/>
        </w:rPr>
        <w:t xml:space="preserve">Subsequent to </w:t>
      </w:r>
      <w:r>
        <w:rPr>
          <w:rStyle w:val="Emphasis"/>
          <w:rFonts w:ascii="Times New Roman" w:hAnsi="Times New Roman"/>
          <w:caps w:val="false"/>
          <w:smallCaps w:val="false"/>
          <w:sz w:val="20"/>
        </w:rPr>
        <w:t>September 30, 2025</w:t>
      </w:r>
      <w:r>
        <w:rPr>
          <w:rFonts w:ascii="Times New Roman" w:hAnsi="Times New Roman"/>
          <w:caps w:val="false"/>
          <w:smallCaps w:val="false"/>
          <w:sz w:val="20"/>
        </w:rPr>
        <w:t>, the Company borrowed $1.0 million under its Credit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Committed Equity Facility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caps w:val="false"/>
          <w:smallCaps w:val="false"/>
          <w:sz w:val="20"/>
        </w:rPr>
        <w:t xml:space="preserve">On </w:t>
      </w:r>
      <w:r>
        <w:rPr>
          <w:rStyle w:val="Emphasis"/>
          <w:rFonts w:ascii="Times New Roman" w:hAnsi="Times New Roman"/>
          <w:caps w:val="false"/>
          <w:smallCaps w:val="false"/>
          <w:sz w:val="20"/>
        </w:rPr>
        <w:t xml:space="preserve">October 9, 2025, </w:t>
      </w:r>
      <w:r>
        <w:rPr>
          <w:rFonts w:ascii="Times New Roman" w:hAnsi="Times New Roman"/>
          <w:caps w:val="false"/>
          <w:smallCaps w:val="false"/>
          <w:sz w:val="20"/>
        </w:rPr>
        <w:t xml:space="preserve">the Company entered into a Common Stock Purchase Agreement and related Registration Rights Agreement with Roth Principal Investments, LLC (“Roth Principal”), providing a discretionary equity facility of up to $25.0 million. Following SEC effectiveness of a resale registration statement, the Company </w:t>
      </w:r>
      <w:r>
        <w:rPr>
          <w:rStyle w:val="Emphasis"/>
          <w:rFonts w:ascii="Times New Roman" w:hAnsi="Times New Roman"/>
          <w:caps w:val="false"/>
          <w:smallCaps w:val="false"/>
          <w:sz w:val="20"/>
        </w:rPr>
        <w:t xml:space="preserve">may, </w:t>
      </w:r>
      <w:r>
        <w:rPr>
          <w:rFonts w:ascii="Times New Roman" w:hAnsi="Times New Roman"/>
          <w:caps w:val="false"/>
          <w:smallCaps w:val="false"/>
          <w:sz w:val="20"/>
        </w:rPr>
        <w:t xml:space="preserve">at its option over </w:t>
      </w:r>
      <w:r>
        <w:rPr>
          <w:rStyle w:val="Emphasis"/>
          <w:rFonts w:ascii="Times New Roman" w:hAnsi="Times New Roman"/>
          <w:caps w:val="false"/>
          <w:smallCaps w:val="false"/>
          <w:sz w:val="20"/>
        </w:rPr>
        <w:t>24</w:t>
      </w:r>
      <w:r>
        <w:rPr>
          <w:rFonts w:ascii="Times New Roman" w:hAnsi="Times New Roman"/>
          <w:caps w:val="false"/>
          <w:smallCaps w:val="false"/>
          <w:sz w:val="20"/>
        </w:rPr>
        <w:t xml:space="preserve"> months from the date the resale registration is declared effective and certain other conditions are met, sell shares of common stock to Roth Principal at a price based on the Nasdaq volume weighted average prices during a specific pricing period, less a 2.5% discount, subject to pricing and ownership limits. The facility is capped at 19.99% of outstanding shares of the Company’s common stock as of the date of the Company’s entry into the Common Stock Purchase Agreement, absent shareholder approval or satisfaction of the Nasdaq pricing exemption and includes a 4.99% beneficial-ownership blocker. As consideration, the Company paid a $25 thousand structuring fee, issued 223,141 shares of common stock as a partial commitment fee (valued at $270,000)(the “Stock Commitment Fee”), agreed to a $180 thousand cash commitment fee, and to reimburse legal fees. Proceeds, if any, are expected to be used for working capital and general corporate purposes. Under the Purchase Agreement, the Company </w:t>
      </w:r>
      <w:r>
        <w:rPr>
          <w:rStyle w:val="Emphasis"/>
          <w:rFonts w:ascii="Times New Roman" w:hAnsi="Times New Roman"/>
          <w:caps w:val="false"/>
          <w:smallCaps w:val="false"/>
          <w:sz w:val="20"/>
        </w:rPr>
        <w:t xml:space="preserve">may </w:t>
      </w:r>
      <w:r>
        <w:rPr>
          <w:rFonts w:ascii="Times New Roman" w:hAnsi="Times New Roman"/>
          <w:caps w:val="false"/>
          <w:smallCaps w:val="false"/>
          <w:sz w:val="20"/>
        </w:rPr>
        <w:t>be required to make a cash “make-whole” payment of up to $270,000 (the value of the Stock Commitment Fee”) if, under certain conditions, Roth Principal receives less than $270,000 in total cash proceeds from the resale of such shares before certain specified dates. In such a case, Roth Principal would return to the Company for cancellation any unsold commitment shares.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Divestiture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caps w:val="false"/>
          <w:smallCaps w:val="false"/>
          <w:sz w:val="20"/>
        </w:rPr>
        <w:t xml:space="preserve">On </w:t>
      </w:r>
      <w:r>
        <w:rPr>
          <w:rStyle w:val="Emphasis"/>
          <w:rFonts w:ascii="Times New Roman" w:hAnsi="Times New Roman"/>
          <w:caps w:val="false"/>
          <w:smallCaps w:val="false"/>
          <w:sz w:val="20"/>
        </w:rPr>
        <w:t xml:space="preserve">October 21, 2025, </w:t>
      </w:r>
      <w:r>
        <w:rPr>
          <w:rFonts w:ascii="Times New Roman" w:hAnsi="Times New Roman"/>
          <w:caps w:val="false"/>
          <w:smallCaps w:val="false"/>
          <w:sz w:val="20"/>
        </w:rPr>
        <w:t xml:space="preserve">the Company divested its operated West Texas assets for net proceeds of $60 thousand that were recorded against the full cost pool. The buyer assumed the associated retirement obligations, and the Company will reflect a reduction in ARO of approximately $5.1 million in the </w:t>
      </w:r>
      <w:r>
        <w:rPr>
          <w:rStyle w:val="Emphasis"/>
          <w:rFonts w:ascii="Times New Roman" w:hAnsi="Times New Roman"/>
          <w:caps w:val="false"/>
          <w:smallCaps w:val="false"/>
          <w:sz w:val="20"/>
        </w:rPr>
        <w:t>fourth</w:t>
      </w:r>
      <w:r>
        <w:rPr>
          <w:rFonts w:ascii="Times New Roman" w:hAnsi="Times New Roman"/>
          <w:caps w:val="false"/>
          <w:smallCaps w:val="false"/>
          <w:sz w:val="20"/>
        </w:rPr>
        <w:t xml:space="preserve"> quarter of </w:t>
      </w:r>
      <w:r>
        <w:rPr>
          <w:rStyle w:val="Emphasis"/>
          <w:rFonts w:ascii="Times New Roman" w:hAnsi="Times New Roman"/>
          <w:caps w:val="false"/>
          <w:smallCaps w:val="false"/>
          <w:sz w:val="20"/>
        </w:rPr>
        <w:t>2025.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pPr>
      <w:r>
        <w:rPr>
          <w:rStyle w:val="Emphasis"/>
          <w:rFonts w:ascii="Times New Roman" w:hAnsi="Times New Roman"/>
          <w:sz w:val="20"/>
        </w:rPr>
        <w:t>18</w:t>
      </w:r>
      <w:r>
        <w:rPr>
          <w:rFonts w:ascii="Times New Roman" w:hAnsi="Times New Roman"/>
          <w:sz w:val="20"/>
        </w:rPr>
        <w:t xml:space="preserve">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0"/>
        <w:jc w:val="left"/>
        <w:rPr/>
      </w:pPr>
      <w:r>
        <w:rPr/>
        <w:t xml:space="preserve">  </w:t>
      </w:r>
    </w:p>
    <w:p>
      <w:pPr>
        <w:pStyle w:val="TextBody"/>
        <w:bidi w:val="0"/>
        <w:spacing w:before="0" w:after="283"/>
        <w:jc w:val="left"/>
        <w:rPr/>
      </w:pPr>
      <w:r>
        <w:rPr/>
        <w:t xml:space="preserve">  </w:t>
      </w:r>
    </w:p>
    <w:p>
      <w:pPr>
        <w:pStyle w:val="TextBody"/>
        <w:bidi w:val="0"/>
        <w:spacing w:before="0" w:after="0"/>
        <w:ind w:left="0" w:right="0" w:hanging="0"/>
        <w:jc w:val="both"/>
        <w:rPr>
          <w:rFonts w:ascii="Times New Roman" w:hAnsi="Times New Roman"/>
          <w:caps w:val="false"/>
          <w:smallCaps w:val="false"/>
          <w:sz w:val="20"/>
        </w:rPr>
      </w:pPr>
      <w:bookmarkStart w:id="11" w:name="mda"/>
      <w:bookmarkEnd w:id="11"/>
      <w:r>
        <w:rPr>
          <w:rFonts w:ascii="Times New Roman" w:hAnsi="Times New Roman"/>
          <w:b/>
          <w:caps w:val="false"/>
          <w:smallCaps w:val="false"/>
          <w:sz w:val="20"/>
        </w:rPr>
        <w:t>ITEM 2. MANAGEMENT</w:t>
      </w:r>
      <w:r>
        <w:rPr>
          <w:rFonts w:ascii="Times New Roman" w:hAnsi="Times New Roman"/>
          <w:caps w:val="false"/>
          <w:smallCaps w:val="false"/>
          <w:sz w:val="20"/>
        </w:rPr>
        <w:t>’</w:t>
      </w:r>
      <w:r>
        <w:rPr>
          <w:rFonts w:ascii="Times New Roman" w:hAnsi="Times New Roman"/>
          <w:b/>
          <w:caps w:val="false"/>
          <w:smallCaps w:val="false"/>
          <w:sz w:val="20"/>
        </w:rPr>
        <w:t>S DISCUSSION AND ANALYSIS OF FINANCIAL CONDITION AND RESULTS OF OPERATIONS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Introduction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This information should be read in conjunction with the interim unaudited Condensed Consolidated Financial Statements and the notes thereto included in this Quarterly Report on Form 10-Q, and the audited Consolidated Financial Statements and notes thereto and “Management’s Discussion and Analysis of Financial Condition and Results of Operations” contained in our Annual Report on Form 10-K for the year ended December 31, 2024, filed with the Securities and Exchange Commission on March 13, 2025 (the “Annual Report”).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caps w:val="false"/>
          <w:smallCaps w:val="false"/>
          <w:sz w:val="20"/>
        </w:rPr>
        <w:t>Certain abbreviations and oil and gas industry terms used throughout this Report are described and defined in greater detail under “Glossary of Oil and Natural Gas Terms” on page </w:t>
      </w:r>
      <w:hyperlink w:anchor="partonefininfo">
        <w:r>
          <w:rPr>
            <w:rStyle w:val="InternetLink"/>
            <w:rFonts w:ascii="Times New Roman" w:hAnsi="Times New Roman"/>
            <w:caps w:val="false"/>
            <w:smallCaps w:val="false"/>
            <w:sz w:val="20"/>
            <w:u w:val="single"/>
          </w:rPr>
          <w:t>4</w:t>
        </w:r>
      </w:hyperlink>
      <w:r>
        <w:rPr>
          <w:rFonts w:ascii="Times New Roman" w:hAnsi="Times New Roman"/>
          <w:caps w:val="false"/>
          <w:smallCaps w:val="false"/>
          <w:sz w:val="20"/>
        </w:rPr>
        <w:t xml:space="preserve"> of our Annual Report.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Certain capitalized terms used below and otherwise defined below, have the meanings given to such terms in the footnotes to our unaudited Condensed Consolidated Financial Statements included above under “Part I - Financial Information” – “Item 1. Financial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In this Quarterly Report on Form 10-Q, we may rely on and refer to information regarding the industries in which we operate in general from market research reports, analyst reports and other publicly available information. Although we believe that this information is reliable, we cannot guarantee the accuracy and completeness of this information, we have not independently verified any of it, and we have not commissioned any such information.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See also “Cautionary Statement About “Forward-Looking Statements” above.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Unless the context requires otherwise, references to the “</w:t>
      </w:r>
      <w:r>
        <w:rPr>
          <w:rFonts w:ascii="Times New Roman" w:hAnsi="Times New Roman"/>
          <w:caps w:val="false"/>
          <w:smallCaps w:val="false"/>
          <w:sz w:val="20"/>
          <w:u w:val="single"/>
        </w:rPr>
        <w:t>Company,</w:t>
      </w:r>
      <w:r>
        <w:rPr>
          <w:rFonts w:ascii="Times New Roman" w:hAnsi="Times New Roman"/>
          <w:caps w:val="false"/>
          <w:smallCaps w:val="false"/>
          <w:sz w:val="20"/>
        </w:rPr>
        <w:t>” “</w:t>
      </w:r>
      <w:r>
        <w:rPr>
          <w:rFonts w:ascii="Times New Roman" w:hAnsi="Times New Roman"/>
          <w:caps w:val="false"/>
          <w:smallCaps w:val="false"/>
          <w:sz w:val="20"/>
          <w:u w:val="single"/>
        </w:rPr>
        <w:t>we,</w:t>
      </w:r>
      <w:r>
        <w:rPr>
          <w:rFonts w:ascii="Times New Roman" w:hAnsi="Times New Roman"/>
          <w:caps w:val="false"/>
          <w:smallCaps w:val="false"/>
          <w:sz w:val="20"/>
        </w:rPr>
        <w:t>” “</w:t>
      </w:r>
      <w:r>
        <w:rPr>
          <w:rFonts w:ascii="Times New Roman" w:hAnsi="Times New Roman"/>
          <w:caps w:val="false"/>
          <w:smallCaps w:val="false"/>
          <w:sz w:val="20"/>
          <w:u w:val="single"/>
        </w:rPr>
        <w:t>us,</w:t>
      </w:r>
      <w:r>
        <w:rPr>
          <w:rFonts w:ascii="Times New Roman" w:hAnsi="Times New Roman"/>
          <w:caps w:val="false"/>
          <w:smallCaps w:val="false"/>
          <w:sz w:val="20"/>
        </w:rPr>
        <w:t>” “</w:t>
      </w:r>
      <w:r>
        <w:rPr>
          <w:rFonts w:ascii="Times New Roman" w:hAnsi="Times New Roman"/>
          <w:caps w:val="false"/>
          <w:smallCaps w:val="false"/>
          <w:sz w:val="20"/>
          <w:u w:val="single"/>
        </w:rPr>
        <w:t>our,</w:t>
      </w:r>
      <w:r>
        <w:rPr>
          <w:rFonts w:ascii="Times New Roman" w:hAnsi="Times New Roman"/>
          <w:caps w:val="false"/>
          <w:smallCaps w:val="false"/>
          <w:sz w:val="20"/>
        </w:rPr>
        <w:t>” “</w:t>
      </w:r>
      <w:r>
        <w:rPr>
          <w:rFonts w:ascii="Times New Roman" w:hAnsi="Times New Roman"/>
          <w:caps w:val="false"/>
          <w:smallCaps w:val="false"/>
          <w:sz w:val="20"/>
          <w:u w:val="single"/>
        </w:rPr>
        <w:t>U.S. Energy</w:t>
      </w:r>
      <w:r>
        <w:rPr>
          <w:rFonts w:ascii="Times New Roman" w:hAnsi="Times New Roman"/>
          <w:caps w:val="false"/>
          <w:smallCaps w:val="false"/>
          <w:sz w:val="20"/>
        </w:rPr>
        <w:t>”, and “</w:t>
      </w:r>
      <w:r>
        <w:rPr>
          <w:rFonts w:ascii="Times New Roman" w:hAnsi="Times New Roman"/>
          <w:caps w:val="false"/>
          <w:smallCaps w:val="false"/>
          <w:sz w:val="20"/>
          <w:u w:val="single"/>
        </w:rPr>
        <w:t>U.S. Energy Corp.</w:t>
      </w:r>
      <w:r>
        <w:rPr>
          <w:rFonts w:ascii="Times New Roman" w:hAnsi="Times New Roman"/>
          <w:caps w:val="false"/>
          <w:smallCaps w:val="false"/>
          <w:sz w:val="20"/>
        </w:rPr>
        <w:t>” refer specifically to U.S. Energy Corp. and its consolidated subsidiaries.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In addition, unless the context otherwise requires and for the purposes of this report only:</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70"/>
        <w:gridCol w:w="10035"/>
      </w:tblGrid>
      <w:tr>
        <w:trPr/>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10035" w:type="dxa"/>
            <w:tcBorders/>
            <w:vAlign w:val="center"/>
          </w:tcPr>
          <w:p>
            <w:pPr>
              <w:pStyle w:val="TableContents"/>
              <w:bidi w:val="0"/>
              <w:spacing w:before="0" w:after="0"/>
              <w:ind w:left="0" w:right="0" w:hanging="0"/>
              <w:jc w:val="both"/>
              <w:rPr>
                <w:caps w:val="false"/>
                <w:smallCaps w:val="false"/>
              </w:rPr>
            </w:pPr>
            <w:r>
              <w:rPr>
                <w:caps w:val="false"/>
                <w:smallCaps w:val="false"/>
              </w:rPr>
              <w:t>“</w:t>
            </w:r>
            <w:r>
              <w:rPr>
                <w:rFonts w:ascii="Times New Roman;Times;serif" w:hAnsi="Times New Roman;Times;serif"/>
                <w:caps w:val="false"/>
                <w:smallCaps w:val="false"/>
                <w:sz w:val="20"/>
              </w:rPr>
              <w:t>Bbl” refers to one stock tank barrel, or 42 U.S. gallons liquid volume, used in this report in reference to crude oil or other liquid hydrocarbons;</w:t>
            </w:r>
          </w:p>
        </w:tc>
      </w:tr>
      <w:tr>
        <w:trPr/>
        <w:tc>
          <w:tcPr>
            <w:tcW w:w="170" w:type="dxa"/>
            <w:tcBorders/>
            <w:vAlign w:val="center"/>
          </w:tcPr>
          <w:p>
            <w:pPr>
              <w:pStyle w:val="TableContents"/>
              <w:bidi w:val="0"/>
              <w:spacing w:before="0" w:after="283"/>
              <w:jc w:val="left"/>
              <w:rPr/>
            </w:pPr>
            <w:r>
              <w:rPr/>
              <w:t> </w:t>
            </w:r>
          </w:p>
        </w:tc>
        <w:tc>
          <w:tcPr>
            <w:tcW w:w="10035" w:type="dxa"/>
            <w:tcBorders/>
            <w:vAlign w:val="center"/>
          </w:tcPr>
          <w:p>
            <w:pPr>
              <w:pStyle w:val="TableContents"/>
              <w:bidi w:val="0"/>
              <w:spacing w:before="0" w:after="0"/>
              <w:ind w:left="0" w:right="0" w:hanging="0"/>
              <w:jc w:val="left"/>
              <w:rPr/>
            </w:pPr>
            <w:r>
              <w:rPr/>
              <w:t> </w:t>
            </w:r>
          </w:p>
        </w:tc>
      </w:tr>
      <w:tr>
        <w:trPr/>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10035" w:type="dxa"/>
            <w:tcBorders/>
            <w:vAlign w:val="center"/>
          </w:tcPr>
          <w:p>
            <w:pPr>
              <w:pStyle w:val="TableContents"/>
              <w:bidi w:val="0"/>
              <w:spacing w:before="0" w:after="0"/>
              <w:ind w:left="0" w:right="0" w:hanging="0"/>
              <w:jc w:val="both"/>
              <w:rPr>
                <w:caps w:val="false"/>
                <w:smallCaps w:val="false"/>
              </w:rPr>
            </w:pPr>
            <w:r>
              <w:rPr>
                <w:caps w:val="false"/>
                <w:smallCaps w:val="false"/>
              </w:rPr>
              <w:t>“</w:t>
            </w:r>
            <w:r>
              <w:rPr>
                <w:rFonts w:ascii="Times New Roman;Times;serif" w:hAnsi="Times New Roman;Times;serif"/>
                <w:caps w:val="false"/>
                <w:smallCaps w:val="false"/>
                <w:sz w:val="20"/>
              </w:rPr>
              <w:t>BOE” refers to barrels of oil equivalent, determined using the ratio of one Bbl of crude oil, condensate, or natural gas liquids, to six Mcf of natural gas;</w:t>
            </w:r>
          </w:p>
        </w:tc>
      </w:tr>
      <w:tr>
        <w:trPr/>
        <w:tc>
          <w:tcPr>
            <w:tcW w:w="170" w:type="dxa"/>
            <w:tcBorders/>
            <w:vAlign w:val="center"/>
          </w:tcPr>
          <w:p>
            <w:pPr>
              <w:pStyle w:val="TableContents"/>
              <w:bidi w:val="0"/>
              <w:spacing w:before="0" w:after="283"/>
              <w:jc w:val="left"/>
              <w:rPr/>
            </w:pPr>
            <w:r>
              <w:rPr/>
              <w:t> </w:t>
            </w:r>
          </w:p>
        </w:tc>
        <w:tc>
          <w:tcPr>
            <w:tcW w:w="10035" w:type="dxa"/>
            <w:tcBorders/>
            <w:vAlign w:val="center"/>
          </w:tcPr>
          <w:p>
            <w:pPr>
              <w:pStyle w:val="TableContents"/>
              <w:bidi w:val="0"/>
              <w:spacing w:before="0" w:after="0"/>
              <w:ind w:left="0" w:right="0" w:hanging="0"/>
              <w:jc w:val="left"/>
              <w:rPr/>
            </w:pPr>
            <w:r>
              <w:rPr/>
              <w:t> </w:t>
            </w:r>
          </w:p>
        </w:tc>
      </w:tr>
      <w:tr>
        <w:trPr/>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10035" w:type="dxa"/>
            <w:tcBorders/>
            <w:vAlign w:val="center"/>
          </w:tcPr>
          <w:p>
            <w:pPr>
              <w:pStyle w:val="TableContents"/>
              <w:bidi w:val="0"/>
              <w:spacing w:before="0" w:after="0"/>
              <w:ind w:left="0" w:right="0" w:hanging="0"/>
              <w:jc w:val="both"/>
              <w:rPr>
                <w:caps w:val="false"/>
                <w:smallCaps w:val="false"/>
              </w:rPr>
            </w:pPr>
            <w:r>
              <w:rPr>
                <w:caps w:val="false"/>
                <w:smallCaps w:val="false"/>
              </w:rPr>
              <w:t>“</w:t>
            </w:r>
            <w:r>
              <w:rPr>
                <w:rFonts w:ascii="Times New Roman;Times;serif" w:hAnsi="Times New Roman;Times;serif"/>
                <w:caps w:val="false"/>
                <w:smallCaps w:val="false"/>
                <w:sz w:val="20"/>
              </w:rPr>
              <w:t>Bopd” refers to barrels of oil per day;</w:t>
            </w:r>
          </w:p>
        </w:tc>
      </w:tr>
      <w:tr>
        <w:trPr/>
        <w:tc>
          <w:tcPr>
            <w:tcW w:w="170" w:type="dxa"/>
            <w:tcBorders/>
            <w:vAlign w:val="center"/>
          </w:tcPr>
          <w:p>
            <w:pPr>
              <w:pStyle w:val="TableContents"/>
              <w:bidi w:val="0"/>
              <w:spacing w:before="0" w:after="283"/>
              <w:jc w:val="left"/>
              <w:rPr/>
            </w:pPr>
            <w:r>
              <w:rPr/>
              <w:t> </w:t>
            </w:r>
          </w:p>
        </w:tc>
        <w:tc>
          <w:tcPr>
            <w:tcW w:w="10035" w:type="dxa"/>
            <w:tcBorders/>
            <w:vAlign w:val="center"/>
          </w:tcPr>
          <w:p>
            <w:pPr>
              <w:pStyle w:val="TableContents"/>
              <w:bidi w:val="0"/>
              <w:spacing w:before="0" w:after="0"/>
              <w:ind w:left="0" w:right="0" w:hanging="0"/>
              <w:jc w:val="left"/>
              <w:rPr/>
            </w:pPr>
            <w:r>
              <w:rPr/>
              <w:t> </w:t>
            </w:r>
          </w:p>
        </w:tc>
      </w:tr>
      <w:tr>
        <w:trPr/>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1003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"Industrial gases" refers to helium, carbon dioxide, and hydrocarbons;</w:t>
            </w:r>
          </w:p>
        </w:tc>
      </w:tr>
      <w:tr>
        <w:trPr/>
        <w:tc>
          <w:tcPr>
            <w:tcW w:w="170" w:type="dxa"/>
            <w:tcBorders/>
            <w:vAlign w:val="center"/>
          </w:tcPr>
          <w:p>
            <w:pPr>
              <w:pStyle w:val="TableContents"/>
              <w:bidi w:val="0"/>
              <w:spacing w:before="0" w:after="283"/>
              <w:jc w:val="left"/>
              <w:rPr/>
            </w:pPr>
            <w:r>
              <w:rPr/>
              <w:t> </w:t>
            </w:r>
          </w:p>
        </w:tc>
        <w:tc>
          <w:tcPr>
            <w:tcW w:w="10035" w:type="dxa"/>
            <w:tcBorders/>
            <w:vAlign w:val="center"/>
          </w:tcPr>
          <w:p>
            <w:pPr>
              <w:pStyle w:val="TableContents"/>
              <w:bidi w:val="0"/>
              <w:spacing w:before="0" w:after="283"/>
              <w:jc w:val="left"/>
              <w:rPr/>
            </w:pPr>
            <w:r>
              <w:rPr/>
              <w:t> </w:t>
            </w:r>
          </w:p>
        </w:tc>
      </w:tr>
      <w:tr>
        <w:trPr/>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10035" w:type="dxa"/>
            <w:tcBorders/>
            <w:vAlign w:val="center"/>
          </w:tcPr>
          <w:p>
            <w:pPr>
              <w:pStyle w:val="TableContents"/>
              <w:bidi w:val="0"/>
              <w:spacing w:before="0" w:after="0"/>
              <w:ind w:left="0" w:right="0" w:hanging="0"/>
              <w:jc w:val="both"/>
              <w:rPr>
                <w:caps w:val="false"/>
                <w:smallCaps w:val="false"/>
              </w:rPr>
            </w:pPr>
            <w:r>
              <w:rPr>
                <w:caps w:val="false"/>
                <w:smallCaps w:val="false"/>
              </w:rPr>
              <w:t>“</w:t>
            </w:r>
            <w:r>
              <w:rPr>
                <w:rFonts w:ascii="Times New Roman;Times;serif" w:hAnsi="Times New Roman;Times;serif"/>
                <w:caps w:val="false"/>
                <w:smallCaps w:val="false"/>
                <w:sz w:val="20"/>
              </w:rPr>
              <w:t>Mcf” refers to a thousand cubic feet of natural gas;</w:t>
            </w:r>
          </w:p>
        </w:tc>
      </w:tr>
      <w:tr>
        <w:trPr/>
        <w:tc>
          <w:tcPr>
            <w:tcW w:w="170" w:type="dxa"/>
            <w:tcBorders/>
            <w:vAlign w:val="center"/>
          </w:tcPr>
          <w:p>
            <w:pPr>
              <w:pStyle w:val="TableContents"/>
              <w:bidi w:val="0"/>
              <w:spacing w:before="0" w:after="283"/>
              <w:jc w:val="left"/>
              <w:rPr/>
            </w:pPr>
            <w:r>
              <w:rPr/>
              <w:t> </w:t>
            </w:r>
          </w:p>
        </w:tc>
        <w:tc>
          <w:tcPr>
            <w:tcW w:w="10035" w:type="dxa"/>
            <w:tcBorders/>
            <w:vAlign w:val="center"/>
          </w:tcPr>
          <w:p>
            <w:pPr>
              <w:pStyle w:val="TableContents"/>
              <w:bidi w:val="0"/>
              <w:spacing w:before="0" w:after="0"/>
              <w:ind w:left="0" w:right="0" w:hanging="0"/>
              <w:jc w:val="left"/>
              <w:rPr/>
            </w:pPr>
            <w:r>
              <w:rPr/>
              <w:t> </w:t>
            </w:r>
          </w:p>
        </w:tc>
      </w:tr>
      <w:tr>
        <w:trPr/>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10035" w:type="dxa"/>
            <w:tcBorders/>
            <w:vAlign w:val="center"/>
          </w:tcPr>
          <w:p>
            <w:pPr>
              <w:pStyle w:val="TableContents"/>
              <w:bidi w:val="0"/>
              <w:spacing w:before="0" w:after="0"/>
              <w:ind w:left="0" w:right="0" w:hanging="0"/>
              <w:jc w:val="both"/>
              <w:rPr>
                <w:caps w:val="false"/>
                <w:smallCaps w:val="false"/>
              </w:rPr>
            </w:pPr>
            <w:r>
              <w:rPr>
                <w:caps w:val="false"/>
                <w:smallCaps w:val="false"/>
              </w:rPr>
              <w:t>“</w:t>
            </w:r>
            <w:r>
              <w:rPr>
                <w:rFonts w:ascii="Times New Roman;Times;serif" w:hAnsi="Times New Roman;Times;serif"/>
                <w:caps w:val="false"/>
                <w:smallCaps w:val="false"/>
                <w:sz w:val="20"/>
              </w:rPr>
              <w:t>Mcfe” means 1,000 cubic feet equivalent, determined using the ratio of six Mcf of natural gas to one Bbl of crude oil, condensate or natural gas liquids;</w:t>
            </w:r>
          </w:p>
        </w:tc>
      </w:tr>
      <w:tr>
        <w:trPr/>
        <w:tc>
          <w:tcPr>
            <w:tcW w:w="170" w:type="dxa"/>
            <w:tcBorders/>
            <w:vAlign w:val="center"/>
          </w:tcPr>
          <w:p>
            <w:pPr>
              <w:pStyle w:val="TableContents"/>
              <w:bidi w:val="0"/>
              <w:spacing w:before="0" w:after="283"/>
              <w:jc w:val="left"/>
              <w:rPr/>
            </w:pPr>
            <w:r>
              <w:rPr/>
              <w:t> </w:t>
            </w:r>
          </w:p>
        </w:tc>
        <w:tc>
          <w:tcPr>
            <w:tcW w:w="10035" w:type="dxa"/>
            <w:tcBorders/>
            <w:vAlign w:val="center"/>
          </w:tcPr>
          <w:p>
            <w:pPr>
              <w:pStyle w:val="TableContents"/>
              <w:bidi w:val="0"/>
              <w:spacing w:before="0" w:after="0"/>
              <w:ind w:left="0" w:right="0" w:hanging="0"/>
              <w:jc w:val="left"/>
              <w:rPr/>
            </w:pPr>
            <w:r>
              <w:rPr/>
              <w:t> </w:t>
            </w:r>
          </w:p>
        </w:tc>
      </w:tr>
      <w:tr>
        <w:trPr/>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10035" w:type="dxa"/>
            <w:tcBorders/>
            <w:vAlign w:val="center"/>
          </w:tcPr>
          <w:p>
            <w:pPr>
              <w:pStyle w:val="TableContents"/>
              <w:bidi w:val="0"/>
              <w:spacing w:before="0" w:after="0"/>
              <w:ind w:left="0" w:right="0" w:hanging="0"/>
              <w:jc w:val="both"/>
              <w:rPr>
                <w:caps w:val="false"/>
                <w:smallCaps w:val="false"/>
              </w:rPr>
            </w:pPr>
            <w:r>
              <w:rPr>
                <w:caps w:val="false"/>
                <w:smallCaps w:val="false"/>
              </w:rPr>
              <w:t>“</w:t>
            </w:r>
            <w:r>
              <w:rPr>
                <w:rFonts w:ascii="Times New Roman;Times;serif" w:hAnsi="Times New Roman;Times;serif"/>
                <w:caps w:val="false"/>
                <w:smallCaps w:val="false"/>
                <w:sz w:val="20"/>
              </w:rPr>
              <w:t>NGL” refers to natural gas liquids;</w:t>
            </w:r>
          </w:p>
        </w:tc>
      </w:tr>
      <w:tr>
        <w:trPr/>
        <w:tc>
          <w:tcPr>
            <w:tcW w:w="170" w:type="dxa"/>
            <w:tcBorders/>
            <w:vAlign w:val="center"/>
          </w:tcPr>
          <w:p>
            <w:pPr>
              <w:pStyle w:val="TableContents"/>
              <w:bidi w:val="0"/>
              <w:spacing w:before="0" w:after="283"/>
              <w:jc w:val="left"/>
              <w:rPr/>
            </w:pPr>
            <w:r>
              <w:rPr/>
              <w:t> </w:t>
            </w:r>
          </w:p>
        </w:tc>
        <w:tc>
          <w:tcPr>
            <w:tcW w:w="10035" w:type="dxa"/>
            <w:tcBorders/>
            <w:vAlign w:val="center"/>
          </w:tcPr>
          <w:p>
            <w:pPr>
              <w:pStyle w:val="TableContents"/>
              <w:bidi w:val="0"/>
              <w:spacing w:before="0" w:after="0"/>
              <w:ind w:left="0" w:right="0" w:hanging="0"/>
              <w:jc w:val="left"/>
              <w:rPr/>
            </w:pPr>
            <w:r>
              <w:rPr/>
              <w:t> </w:t>
            </w:r>
          </w:p>
        </w:tc>
      </w:tr>
      <w:tr>
        <w:trPr/>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10035" w:type="dxa"/>
            <w:tcBorders/>
            <w:vAlign w:val="center"/>
          </w:tcPr>
          <w:p>
            <w:pPr>
              <w:pStyle w:val="TableContents"/>
              <w:bidi w:val="0"/>
              <w:spacing w:before="0" w:after="0"/>
              <w:ind w:left="0" w:right="0" w:hanging="0"/>
              <w:jc w:val="both"/>
              <w:rPr>
                <w:caps w:val="false"/>
                <w:smallCaps w:val="false"/>
              </w:rPr>
            </w:pPr>
            <w:r>
              <w:rPr>
                <w:caps w:val="false"/>
                <w:smallCaps w:val="false"/>
              </w:rPr>
              <w:t>“</w:t>
            </w:r>
            <w:r>
              <w:rPr>
                <w:rFonts w:ascii="Times New Roman;Times;serif" w:hAnsi="Times New Roman;Times;serif"/>
                <w:caps w:val="false"/>
                <w:smallCaps w:val="false"/>
                <w:sz w:val="20"/>
              </w:rPr>
              <w:t>Exchange Act” refers to the Securities Exchange Act of 1934, as amended;</w:t>
            </w:r>
          </w:p>
        </w:tc>
      </w:tr>
      <w:tr>
        <w:trPr/>
        <w:tc>
          <w:tcPr>
            <w:tcW w:w="170" w:type="dxa"/>
            <w:tcBorders/>
            <w:vAlign w:val="center"/>
          </w:tcPr>
          <w:p>
            <w:pPr>
              <w:pStyle w:val="TableContents"/>
              <w:bidi w:val="0"/>
              <w:spacing w:before="0" w:after="283"/>
              <w:jc w:val="left"/>
              <w:rPr/>
            </w:pPr>
            <w:r>
              <w:rPr/>
              <w:t> </w:t>
            </w:r>
          </w:p>
        </w:tc>
        <w:tc>
          <w:tcPr>
            <w:tcW w:w="10035" w:type="dxa"/>
            <w:tcBorders/>
            <w:vAlign w:val="center"/>
          </w:tcPr>
          <w:p>
            <w:pPr>
              <w:pStyle w:val="TableContents"/>
              <w:bidi w:val="0"/>
              <w:spacing w:before="0" w:after="0"/>
              <w:ind w:left="0" w:right="0" w:hanging="0"/>
              <w:jc w:val="left"/>
              <w:rPr/>
            </w:pPr>
            <w:r>
              <w:rPr/>
              <w:t> </w:t>
            </w:r>
          </w:p>
        </w:tc>
      </w:tr>
      <w:tr>
        <w:trPr/>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10035" w:type="dxa"/>
            <w:tcBorders/>
            <w:vAlign w:val="center"/>
          </w:tcPr>
          <w:p>
            <w:pPr>
              <w:pStyle w:val="TableContents"/>
              <w:bidi w:val="0"/>
              <w:spacing w:before="0" w:after="0"/>
              <w:ind w:left="0" w:right="0" w:hanging="0"/>
              <w:jc w:val="both"/>
              <w:rPr>
                <w:caps w:val="false"/>
                <w:smallCaps w:val="false"/>
              </w:rPr>
            </w:pPr>
            <w:r>
              <w:rPr>
                <w:caps w:val="false"/>
                <w:smallCaps w:val="false"/>
              </w:rPr>
              <w:t>“</w:t>
            </w:r>
            <w:r>
              <w:rPr>
                <w:rFonts w:ascii="Times New Roman;Times;serif" w:hAnsi="Times New Roman;Times;serif"/>
                <w:caps w:val="false"/>
                <w:smallCaps w:val="false"/>
                <w:sz w:val="20"/>
              </w:rPr>
              <w:t>SEC” or the “Commission” refers to the United States Securities and Exchange Commission;</w:t>
            </w:r>
          </w:p>
        </w:tc>
      </w:tr>
      <w:tr>
        <w:trPr/>
        <w:tc>
          <w:tcPr>
            <w:tcW w:w="170" w:type="dxa"/>
            <w:tcBorders/>
            <w:vAlign w:val="center"/>
          </w:tcPr>
          <w:p>
            <w:pPr>
              <w:pStyle w:val="TableContents"/>
              <w:bidi w:val="0"/>
              <w:spacing w:before="0" w:after="283"/>
              <w:jc w:val="left"/>
              <w:rPr/>
            </w:pPr>
            <w:r>
              <w:rPr/>
              <w:t> </w:t>
            </w:r>
          </w:p>
        </w:tc>
        <w:tc>
          <w:tcPr>
            <w:tcW w:w="10035" w:type="dxa"/>
            <w:tcBorders/>
            <w:vAlign w:val="center"/>
          </w:tcPr>
          <w:p>
            <w:pPr>
              <w:pStyle w:val="TableContents"/>
              <w:bidi w:val="0"/>
              <w:spacing w:before="0" w:after="0"/>
              <w:ind w:left="0" w:right="0" w:hanging="0"/>
              <w:jc w:val="left"/>
              <w:rPr/>
            </w:pPr>
            <w:r>
              <w:rPr/>
              <w:t> </w:t>
            </w:r>
          </w:p>
        </w:tc>
      </w:tr>
      <w:tr>
        <w:trPr/>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10035" w:type="dxa"/>
            <w:tcBorders/>
            <w:vAlign w:val="center"/>
          </w:tcPr>
          <w:p>
            <w:pPr>
              <w:pStyle w:val="TableContents"/>
              <w:bidi w:val="0"/>
              <w:spacing w:before="0" w:after="0"/>
              <w:ind w:left="0" w:right="0" w:hanging="0"/>
              <w:jc w:val="both"/>
              <w:rPr>
                <w:caps w:val="false"/>
                <w:smallCaps w:val="false"/>
              </w:rPr>
            </w:pPr>
            <w:r>
              <w:rPr>
                <w:caps w:val="false"/>
                <w:smallCaps w:val="false"/>
              </w:rPr>
              <w:t>“</w:t>
            </w:r>
            <w:r>
              <w:rPr>
                <w:rFonts w:ascii="Times New Roman;Times;serif" w:hAnsi="Times New Roman;Times;serif"/>
                <w:caps w:val="false"/>
                <w:smallCaps w:val="false"/>
                <w:sz w:val="20"/>
              </w:rPr>
              <w:t>Securities Act” refers to the Securities Act of 1933, as amended; and</w:t>
            </w:r>
          </w:p>
        </w:tc>
      </w:tr>
      <w:tr>
        <w:trPr/>
        <w:tc>
          <w:tcPr>
            <w:tcW w:w="170" w:type="dxa"/>
            <w:tcBorders/>
            <w:vAlign w:val="center"/>
          </w:tcPr>
          <w:p>
            <w:pPr>
              <w:pStyle w:val="TableContents"/>
              <w:bidi w:val="0"/>
              <w:spacing w:before="0" w:after="283"/>
              <w:jc w:val="left"/>
              <w:rPr/>
            </w:pPr>
            <w:r>
              <w:rPr/>
              <w:t> </w:t>
            </w:r>
          </w:p>
        </w:tc>
        <w:tc>
          <w:tcPr>
            <w:tcW w:w="10035" w:type="dxa"/>
            <w:tcBorders/>
            <w:vAlign w:val="center"/>
          </w:tcPr>
          <w:p>
            <w:pPr>
              <w:pStyle w:val="TableContents"/>
              <w:bidi w:val="0"/>
              <w:spacing w:before="0" w:after="0"/>
              <w:ind w:left="0" w:right="0" w:hanging="0"/>
              <w:jc w:val="left"/>
              <w:rPr/>
            </w:pPr>
            <w:r>
              <w:rPr/>
              <w:t> </w:t>
            </w:r>
          </w:p>
        </w:tc>
      </w:tr>
      <w:tr>
        <w:trPr/>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10035" w:type="dxa"/>
            <w:tcBorders/>
            <w:vAlign w:val="center"/>
          </w:tcPr>
          <w:p>
            <w:pPr>
              <w:pStyle w:val="TableContents"/>
              <w:bidi w:val="0"/>
              <w:spacing w:before="0" w:after="0"/>
              <w:ind w:left="0" w:right="0" w:hanging="0"/>
              <w:jc w:val="both"/>
              <w:rPr>
                <w:caps w:val="false"/>
                <w:smallCaps w:val="false"/>
              </w:rPr>
            </w:pPr>
            <w:r>
              <w:rPr>
                <w:caps w:val="false"/>
                <w:smallCaps w:val="false"/>
              </w:rPr>
              <w:t>“</w:t>
            </w:r>
            <w:r>
              <w:rPr>
                <w:rFonts w:ascii="Times New Roman;Times;serif" w:hAnsi="Times New Roman;Times;serif"/>
                <w:caps w:val="false"/>
                <w:smallCaps w:val="false"/>
                <w:sz w:val="20"/>
              </w:rPr>
              <w:t>WTI” means West Texas Intermediate.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caps w:val="false"/>
          <w:smallCaps w:val="false"/>
          <w:sz w:val="20"/>
          <w:u w:val="single"/>
        </w:rPr>
      </w:pPr>
      <w:r>
        <w:rPr>
          <w:rFonts w:ascii="Times New Roman" w:hAnsi="Times New Roman"/>
          <w:b/>
          <w:caps w:val="false"/>
          <w:smallCaps w:val="false"/>
          <w:sz w:val="20"/>
          <w:u w:val="single"/>
        </w:rPr>
        <w:t>Where You Can Find Other Information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 xml:space="preserve">We file annual, quarterly, and current reports, proxy statements and other information with the SEC. The SEC maintains an Internet site that contains reports, proxy and information statements, and other information regarding issuers that file electronically with the SEC like us at </w:t>
      </w:r>
      <w:r>
        <w:rPr>
          <w:rFonts w:ascii="Times New Roman" w:hAnsi="Times New Roman"/>
          <w:caps w:val="false"/>
          <w:smallCaps w:val="false"/>
          <w:sz w:val="20"/>
          <w:u w:val="single"/>
        </w:rPr>
        <w:t>https://www.sec.gov</w:t>
      </w:r>
      <w:r>
        <w:rPr>
          <w:rFonts w:ascii="Times New Roman" w:hAnsi="Times New Roman"/>
          <w:caps w:val="false"/>
          <w:smallCaps w:val="false"/>
          <w:sz w:val="20"/>
        </w:rPr>
        <w:t xml:space="preserve"> (our filings can be found at </w:t>
      </w:r>
      <w:r>
        <w:rPr>
          <w:rFonts w:ascii="Times New Roman" w:hAnsi="Times New Roman"/>
          <w:caps w:val="false"/>
          <w:smallCaps w:val="false"/>
          <w:sz w:val="20"/>
          <w:u w:val="single"/>
        </w:rPr>
        <w:t>https://www.sec.gov/cgi-bin/browse-edgar?action=getcompany&amp;CIK=0000101594</w:t>
      </w:r>
      <w:r>
        <w:rPr>
          <w:rFonts w:ascii="Times New Roman" w:hAnsi="Times New Roman"/>
          <w:caps w:val="false"/>
          <w:smallCaps w:val="false"/>
          <w:sz w:val="20"/>
        </w:rPr>
        <w:t>) and on the “</w:t>
      </w:r>
      <w:r>
        <w:rPr>
          <w:rFonts w:ascii="Times New Roman" w:hAnsi="Times New Roman"/>
          <w:caps w:val="false"/>
          <w:smallCaps w:val="false"/>
          <w:sz w:val="20"/>
          <w:u w:val="single"/>
        </w:rPr>
        <w:t>Investors – SEC Filings</w:t>
      </w:r>
      <w:r>
        <w:rPr>
          <w:rFonts w:ascii="Times New Roman" w:hAnsi="Times New Roman"/>
          <w:caps w:val="false"/>
          <w:smallCaps w:val="false"/>
          <w:sz w:val="20"/>
        </w:rPr>
        <w:t xml:space="preserve">” page of our website at </w:t>
      </w:r>
      <w:r>
        <w:rPr>
          <w:rFonts w:ascii="Times New Roman" w:hAnsi="Times New Roman"/>
          <w:caps w:val="false"/>
          <w:smallCaps w:val="false"/>
          <w:sz w:val="20"/>
          <w:u w:val="single"/>
        </w:rPr>
        <w:t>https://usnrg.com</w:t>
      </w:r>
      <w:r>
        <w:rPr>
          <w:rFonts w:ascii="Times New Roman" w:hAnsi="Times New Roman"/>
          <w:caps w:val="false"/>
          <w:smallCaps w:val="false"/>
          <w:sz w:val="20"/>
        </w:rPr>
        <w:t>. Copies of documents filed by us with the SEC are also available from us without charge, upon oral or written request to our Secretary, who can be contacted at the address and telephone number set forth on the cover page of this Report.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19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b/>
          <w:i/>
          <w:caps w:val="false"/>
          <w:smallCaps w:val="false"/>
          <w:sz w:val="20"/>
        </w:rPr>
        <w:t>Summary of The Information Contained in Management</w:t>
      </w:r>
      <w:r>
        <w:rPr>
          <w:rFonts w:ascii="Times New Roman" w:hAnsi="Times New Roman"/>
          <w:caps w:val="false"/>
          <w:smallCaps w:val="false"/>
          <w:sz w:val="20"/>
        </w:rPr>
        <w:t>’</w:t>
      </w:r>
      <w:r>
        <w:rPr>
          <w:rFonts w:ascii="Times New Roman" w:hAnsi="Times New Roman"/>
          <w:b/>
          <w:i/>
          <w:caps w:val="false"/>
          <w:smallCaps w:val="false"/>
          <w:sz w:val="20"/>
        </w:rPr>
        <w:t>s Discussion and Analysis of Financial Condition and Results of Operations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Our Management’s Discussion and Analysis of Financial Condition and Results of Operations (MD&amp;A) is provided in addition to the accompanying unaudited Condensed Consolidated Financial Statements and notes to assist readers in understanding our results of operations, financial condition, and cash flows. MD&amp;A is organized as follows:</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b/>
                <w:caps w:val="false"/>
                <w:smallCaps w:val="false"/>
                <w:sz w:val="20"/>
              </w:rPr>
              <w:t>General Overview</w:t>
            </w:r>
            <w:r>
              <w:rPr>
                <w:rFonts w:ascii="Times New Roman;Times;serif" w:hAnsi="Times New Roman;Times;serif"/>
                <w:caps w:val="false"/>
                <w:smallCaps w:val="false"/>
                <w:sz w:val="20"/>
              </w:rPr>
              <w:t>. A general overview of the Company and our operations.</w:t>
            </w:r>
          </w:p>
        </w:tc>
      </w:tr>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975" w:type="dxa"/>
            <w:tcBorders/>
            <w:vAlign w:val="center"/>
          </w:tcPr>
          <w:p>
            <w:pPr>
              <w:pStyle w:val="TableContents"/>
              <w:bidi w:val="0"/>
              <w:spacing w:before="0" w:after="0"/>
              <w:ind w:left="0" w:right="0" w:hanging="0"/>
              <w:jc w:val="left"/>
              <w:rPr/>
            </w:pPr>
            <w:r>
              <w:rPr/>
              <w:t> </w:t>
            </w:r>
          </w:p>
        </w:tc>
      </w:tr>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b/>
                <w:caps w:val="false"/>
                <w:smallCaps w:val="false"/>
                <w:sz w:val="20"/>
              </w:rPr>
              <w:t>Recent Developments</w:t>
            </w:r>
            <w:r>
              <w:rPr>
                <w:rFonts w:ascii="Times New Roman;Times;serif" w:hAnsi="Times New Roman;Times;serif"/>
                <w:caps w:val="false"/>
                <w:smallCaps w:val="false"/>
                <w:sz w:val="20"/>
              </w:rPr>
              <w:t>. Discussion of recent developments affecting the Company and our operations.</w:t>
            </w:r>
          </w:p>
        </w:tc>
      </w:tr>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975" w:type="dxa"/>
            <w:tcBorders/>
            <w:vAlign w:val="center"/>
          </w:tcPr>
          <w:p>
            <w:pPr>
              <w:pStyle w:val="TableContents"/>
              <w:bidi w:val="0"/>
              <w:spacing w:before="0" w:after="0"/>
              <w:ind w:left="0" w:right="0" w:hanging="0"/>
              <w:jc w:val="left"/>
              <w:rPr/>
            </w:pPr>
            <w:r>
              <w:rPr/>
              <w:t> </w:t>
            </w:r>
          </w:p>
        </w:tc>
      </w:tr>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b/>
                <w:caps w:val="false"/>
                <w:smallCaps w:val="false"/>
                <w:sz w:val="20"/>
              </w:rPr>
              <w:t>Plan of Operations and Strategy</w:t>
            </w:r>
            <w:r>
              <w:rPr>
                <w:rFonts w:ascii="Times New Roman;Times;serif" w:hAnsi="Times New Roman;Times;serif"/>
                <w:caps w:val="false"/>
                <w:smallCaps w:val="false"/>
                <w:sz w:val="20"/>
              </w:rPr>
              <w:t>. Discussion of our strategy moving forward and how we plan to seek to increase stockholder value.</w:t>
            </w:r>
          </w:p>
        </w:tc>
      </w:tr>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975" w:type="dxa"/>
            <w:tcBorders/>
            <w:vAlign w:val="center"/>
          </w:tcPr>
          <w:p>
            <w:pPr>
              <w:pStyle w:val="TableContents"/>
              <w:bidi w:val="0"/>
              <w:spacing w:before="0" w:after="0"/>
              <w:ind w:left="0" w:right="0" w:hanging="0"/>
              <w:jc w:val="left"/>
              <w:rPr/>
            </w:pPr>
            <w:r>
              <w:rPr/>
              <w:t> </w:t>
            </w:r>
          </w:p>
        </w:tc>
      </w:tr>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b/>
                <w:caps w:val="false"/>
                <w:smallCaps w:val="false"/>
                <w:sz w:val="20"/>
              </w:rPr>
              <w:t>Critical Accounting Policies and Estimates</w:t>
            </w:r>
            <w:r>
              <w:rPr>
                <w:rFonts w:ascii="Times New Roman;Times;serif" w:hAnsi="Times New Roman;Times;serif"/>
                <w:caps w:val="false"/>
                <w:smallCaps w:val="false"/>
                <w:sz w:val="20"/>
              </w:rPr>
              <w:t>. Accounting estimates that we believe are important to understanding the assumptions and judgments incorporated in our reported financial results and forecasts.</w:t>
            </w:r>
          </w:p>
        </w:tc>
      </w:tr>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975" w:type="dxa"/>
            <w:tcBorders/>
            <w:vAlign w:val="center"/>
          </w:tcPr>
          <w:p>
            <w:pPr>
              <w:pStyle w:val="TableContents"/>
              <w:bidi w:val="0"/>
              <w:spacing w:before="0" w:after="0"/>
              <w:ind w:left="0" w:right="0" w:hanging="0"/>
              <w:jc w:val="left"/>
              <w:rPr/>
            </w:pPr>
            <w:r>
              <w:rPr/>
              <w:t> </w:t>
            </w:r>
          </w:p>
        </w:tc>
      </w:tr>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b/>
                <w:caps w:val="false"/>
                <w:smallCaps w:val="false"/>
                <w:sz w:val="20"/>
              </w:rPr>
              <w:t>Results of Operations</w:t>
            </w:r>
            <w:r>
              <w:rPr>
                <w:rFonts w:ascii="Times New Roman;Times;serif" w:hAnsi="Times New Roman;Times;serif"/>
                <w:caps w:val="false"/>
                <w:smallCaps w:val="false"/>
                <w:sz w:val="20"/>
              </w:rPr>
              <w:t>. An analysis of our financial results comparing the three and nine months ended September 30, 2025 and 2024.</w:t>
            </w:r>
          </w:p>
        </w:tc>
      </w:tr>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975" w:type="dxa"/>
            <w:tcBorders/>
            <w:vAlign w:val="center"/>
          </w:tcPr>
          <w:p>
            <w:pPr>
              <w:pStyle w:val="TableContents"/>
              <w:bidi w:val="0"/>
              <w:spacing w:before="0" w:after="0"/>
              <w:ind w:left="0" w:right="0" w:hanging="0"/>
              <w:jc w:val="left"/>
              <w:rPr/>
            </w:pPr>
            <w:r>
              <w:rPr/>
              <w:t> </w:t>
            </w:r>
          </w:p>
        </w:tc>
      </w:tr>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b/>
                <w:caps w:val="false"/>
                <w:smallCaps w:val="false"/>
                <w:sz w:val="20"/>
              </w:rPr>
              <w:t>Liquidity and Capital Resources</w:t>
            </w:r>
            <w:r>
              <w:rPr>
                <w:rFonts w:ascii="Times New Roman;Times;serif" w:hAnsi="Times New Roman;Times;serif"/>
                <w:caps w:val="false"/>
                <w:smallCaps w:val="false"/>
                <w:sz w:val="20"/>
              </w:rPr>
              <w:t>. A discussion of our financial condition, including descriptions of balance sheet information and cash flows.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General Overview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U.S. Energy Corp. (collectively with its wholly-owned subsidiaries are referred to as the “Company”) is incorporated in the State of Delaware. The Company’s principal business activities are focused on the acquisition, exploration, and development of industrial gases, oil and natural gas properties in the United States.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Material Developments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b/>
          <w:i/>
          <w:caps w:val="false"/>
          <w:smallCaps w:val="false"/>
          <w:sz w:val="20"/>
        </w:rPr>
        <w:t xml:space="preserve">Synergy </w:t>
      </w:r>
      <w:r>
        <w:rPr>
          <w:rFonts w:ascii="Times New Roman" w:hAnsi="Times New Roman"/>
          <w:caps w:val="false"/>
          <w:smallCaps w:val="false"/>
          <w:sz w:val="20"/>
        </w:rPr>
        <w:t xml:space="preserve">– </w:t>
      </w:r>
      <w:r>
        <w:rPr>
          <w:rFonts w:ascii="Times New Roman" w:hAnsi="Times New Roman"/>
          <w:b/>
          <w:i/>
          <w:caps w:val="false"/>
          <w:smallCaps w:val="false"/>
          <w:sz w:val="20"/>
        </w:rPr>
        <w:t>acquisition of industrial gas properties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On January 7, 2025, we entered into and simultaneously closed the transactions contemplated by, a purchase and sale agreement, with Synergy Offshore LLC (“Synergy”). Synergy is controlled by Mr. Duane H. King, a member of the Board of Directors of the Company, who serves as the Chief Executive Officer and Manager of Synergy, and John A. Weinzierl, the Company’s Chairman, who was an approximate sixty percent beneficial owner of Synergy at the time of the entry into the purchase and sale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We acquired approximately 24,000 net operated acres located across the Kevin Dome structure in Toole County, Montana, including all leases, wells, rights and interests in, under or derived from the acquired acreage subject to Synergy retaining an undivided twenty percent (20%) of Synergy’s right title and interest in the property.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Consideration for the transaction consisted of the following: (a) $2.0 million in cash, subject to customary adjustments; (b) 1,400,000 shares of the Company’s common stock; (c) a carried working interest whereby the Company agreed to cover and pay for 100% of Synergy’s costs attributable to the Synergy acreage, until the earlier of (i) 78 months from the closing date; or (ii) the date the total costs associated therewith total $20 million; (d) our agreement to pay Synergy 18% of the cash amounts we actually realize from any law or regulation from our sequestration of carbon oxides or similar substances derived directly from an agreed area of mutual interest including Synergy’s acreage; and (e) our agreement to pay Synergy 18% of the gain we may receive in connection with the sale of the future, first, gas processing plant located on Synergy’s acreage.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20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 w:hAnsi="Times New Roman"/>
          <w:b/>
          <w:i/>
          <w:caps w:val="false"/>
          <w:smallCaps w:val="false"/>
          <w:sz w:val="20"/>
        </w:rPr>
      </w:pPr>
      <w:r>
        <w:rPr>
          <w:rFonts w:ascii="Times New Roman" w:hAnsi="Times New Roman"/>
          <w:b/>
          <w:i/>
          <w:caps w:val="false"/>
          <w:smallCaps w:val="false"/>
          <w:sz w:val="20"/>
        </w:rPr>
        <w:t>Underwritten Offering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On January 22, 2025, the Company entered into an underwriting agreement for the offering of 4,871,400 shares of common stock, at a price to the public of $2.65 per share (such offering, the “Offering”).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sale of 4,871,400 shares of common stock (including the full 635,400 over-allotment option) in connection with the Offering, closed on January 23, 2025. The Company generated approximately $11.9 million of net proceeds from the Offering, after deducting the underwriting discounts and commissions and offering costs payable by us, and has used, and continues to use such proceeds for the development of its Montana assets, general corporate purposes, and working capital, or for other purposes that our board of directors, in their good faith, deems to be in the best interest of the Company. Additionally, management used $1.574 million from the over-allotment option exercise to purchase shares of common stock from Sage Road Capital, LLC (whose co-manager, Joshua L. Batchelor, was a then member of the Board of Directors of the Company) and its affiliates at a price equal to the public offering price of the Offering, less underwriting discounts, which sale took place in January 2025, as discussed below.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i/>
          <w:caps w:val="false"/>
          <w:smallCaps w:val="false"/>
          <w:sz w:val="20"/>
        </w:rPr>
      </w:pPr>
      <w:r>
        <w:rPr>
          <w:rFonts w:ascii="Times New Roman" w:hAnsi="Times New Roman"/>
          <w:b/>
          <w:i/>
          <w:caps w:val="false"/>
          <w:smallCaps w:val="false"/>
          <w:sz w:val="20"/>
        </w:rPr>
        <w:t>Related Party Share Repurchase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On January 27, 2025, the Company entered into a Share Repurchase Agreement with Banner Oil &amp; Gas, LLC (“Banner”), Woodford Petroleum, LLC (“Woodford”), and Sage Road Energy II, LP, (“Sage Road”, and together with Banner and Woodford, the “Selling Stockholders”). In his capacity as co-Managing Partner of Sage Road Capital, LLC, which indirectly controls and manages certain funds which own a majority interest in Banner, Woodford and Sage Road, Joshua L. Batchelor, a then member of the Board of Directors of the Company, may be deemed to beneficially own the shares of common stock held by the Selling Stockholders.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Pursuant to the Share Repurchase Agreement, the Company, in a private transaction, outside of, and separate from the Company’s previously disclosed share repurchase program, on January 27, 2025, repurchased (a) 534,020 shares of common stock held by Banner, (b) 41,229 shares of common stock held by Woodford, and (c) 60,151 shares of common stock held by Sage Road, for an aggregate of $1.574 million or approximately $2.48 per share, which is the net price per share of the 4,871,400 shares of common stock which we sold in our underwritten public offering which closed on January 23, 2025, less underwriting discounts and commissions, and which represented an 8.2% premium to the closing sales price of the Company’s common stock on January 27, 2025.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i/>
          <w:caps w:val="false"/>
          <w:smallCaps w:val="false"/>
          <w:sz w:val="20"/>
        </w:rPr>
      </w:pPr>
      <w:r>
        <w:rPr>
          <w:rFonts w:ascii="Times New Roman" w:hAnsi="Times New Roman"/>
          <w:b/>
          <w:i/>
          <w:caps w:val="false"/>
          <w:smallCaps w:val="false"/>
          <w:sz w:val="20"/>
        </w:rPr>
        <w:t>Stock Repurchase Program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On January 29, 2025, the Board of Directors of the Company authorized and approved an extension of the ongoing share repurchase program for up to $5.0 million of the outstanding shares of the Company’s common stock originally approved by the Board of Directors on April 26, 2023 and subsequently extended, subject to any future extensions in the discretion of the Board of Directors of the Company, the repurchase program is now scheduled to expire on June 30, 2026, when a maximum of $5.0 million of the Company’s common stock has been repurchased, or when such program is discontinued by the Board of Directors.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Under the stock repurchase program, shares may be repurchased from time to time in the open market or through negotiated transactions at prevailing market prices, or by other means in accordance with federal securities laws. Repurchases will be made at management’s discretion at prices management considers to be attractive and in the best interests of both the Company and its stockholders, subject to the availability of stock, general market conditions, the trading price of the stock, alternative uses for capital, and the Company’s financial performance. The repurchase program will be funded using the Company’s working capital.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During the nine months ended September 30, 2025, the Company repurchased 197,400 shares for $317 thousand, at a weighted average price of $1.61 per share. During the nine months ended September 30, 2024, the Company repurchased 482,500 shares for $525 thousand at a weighted average price of $1.09 per share. There were no repurchases during the three months ended September 30, 2025. As of September 30, 2025, a total of $3.5 million remained available under the repurchase program for future repurchases.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share repurchase program was approved by the disinterested members of the Board of Directors of the Company, as well as the Company’s Audit Committee, comprised solely of independent directors not affiliated with Mr. Batchelor or the Selling Stockholders.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21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 w:hAnsi="Times New Roman"/>
          <w:b/>
          <w:i/>
          <w:caps w:val="false"/>
          <w:smallCaps w:val="false"/>
          <w:sz w:val="20"/>
        </w:rPr>
      </w:pPr>
      <w:r>
        <w:rPr>
          <w:rFonts w:ascii="Times New Roman" w:hAnsi="Times New Roman"/>
          <w:b/>
          <w:i/>
          <w:caps w:val="false"/>
          <w:smallCaps w:val="false"/>
          <w:sz w:val="20"/>
        </w:rPr>
        <w:t>Drilling Program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During the first half of 2025, the Company drilled 2 new industrial gas wells on our Kevin Dome acreage in Montana. Both wells are currently being assessed, and completion work is ongoing. In addition, we successfully completed the discovery well we acquired in the Synergy transaction noted above. The Company continues to refine its development plan. These activities include evaluating initial plant designs and processing plant locations, designing our gathering system, finalizing permitting for injection wells and attaining right of ways among other activities in anticipation of first production of our industrial gas wells in 2026.</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i/>
          <w:sz w:val="20"/>
        </w:rPr>
      </w:pPr>
      <w:r>
        <w:rPr>
          <w:rFonts w:ascii="Times New Roman" w:hAnsi="Times New Roman"/>
          <w:b/>
          <w:i/>
          <w:sz w:val="20"/>
        </w:rPr>
        <w:t>Full Cost Method Ceiling Test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reserves used in the ceiling test incorporate assumptions regarding pricing and discount rates over which management has no influence in the determination of present value. In the calculation of the ceiling test as of September 30, 2025, the Company used $67.45 per barrel for oil and $3.10 per one million British Thermal Units (MMbtu) for natural gas (as further adjusted for property, specific gravity, quality, local markets and distance from markets) to compute the future cash flows of the Company’s producing properties. The discount factor used was 10%. The Company recorded a $0.9 million ceiling test write-down of its oil and natural gas properties during the three months ended September 30, 2025, due to a reduction in the value of proved oil and natural gas reserves primarily as a result of a decrease in crude oil prices.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shd w:fill="FFFFFF" w:val="clear"/>
        </w:rPr>
        <w:t>We expect to record a further write-down of our oil and natural gas properties in the fourth quarter of 2025 due to lower commodity prices used in the calculation of the ceiling test. Depending on actual commodity prices, estimated price differentials, lease operating costs, revisions to reserve estimates, and the amount and timing of capital expenditures, the write-down could be approximately </w:t>
      </w:r>
      <w:r>
        <w:rPr>
          <w:rFonts w:ascii="Times New Roman" w:hAnsi="Times New Roman"/>
          <w:caps w:val="false"/>
          <w:smallCaps w:val="false"/>
          <w:sz w:val="20"/>
        </w:rPr>
        <w:t>$0.8 million</w:t>
      </w:r>
      <w:r>
        <w:rPr>
          <w:rFonts w:ascii="Times New Roman" w:hAnsi="Times New Roman"/>
          <w:caps w:val="false"/>
          <w:smallCaps w:val="false"/>
          <w:sz w:val="20"/>
          <w:shd w:fill="FFFFFF" w:val="clear"/>
        </w:rPr>
        <w:t xml:space="preserve"> to </w:t>
      </w:r>
      <w:r>
        <w:rPr>
          <w:rFonts w:ascii="Times New Roman" w:hAnsi="Times New Roman"/>
          <w:caps w:val="false"/>
          <w:smallCaps w:val="false"/>
          <w:sz w:val="20"/>
        </w:rPr>
        <w:t>$1.8 million</w:t>
      </w:r>
      <w:r>
        <w:rPr>
          <w:rFonts w:ascii="Times New Roman" w:hAnsi="Times New Roman"/>
          <w:caps w:val="false"/>
          <w:smallCaps w:val="false"/>
          <w:sz w:val="20"/>
          <w:shd w:fill="FFFFFF" w:val="clear"/>
        </w:rPr>
        <w:t xml:space="preserve"> in the fourth quarter of 2025.</w:t>
      </w:r>
    </w:p>
    <w:p>
      <w:pPr>
        <w:pStyle w:val="TextBody"/>
        <w:bidi w:val="0"/>
        <w:spacing w:before="0" w:after="0"/>
        <w:ind w:left="0" w:right="0" w:hanging="0"/>
        <w:jc w:val="both"/>
        <w:rPr/>
      </w:pPr>
      <w:r>
        <w:rPr/>
        <w:t> </w:t>
      </w:r>
    </w:p>
    <w:p>
      <w:pPr>
        <w:pStyle w:val="TextBody"/>
        <w:bidi w:val="0"/>
        <w:spacing w:before="0" w:after="0"/>
        <w:jc w:val="left"/>
        <w:rPr>
          <w:rFonts w:ascii="Times New Roman" w:hAnsi="Times New Roman"/>
          <w:caps w:val="false"/>
          <w:smallCaps w:val="false"/>
          <w:sz w:val="20"/>
        </w:rPr>
      </w:pPr>
      <w:r>
        <w:rPr>
          <w:rFonts w:ascii="Times New Roman" w:hAnsi="Times New Roman"/>
          <w:b/>
          <w:i/>
          <w:caps w:val="false"/>
          <w:smallCaps w:val="false"/>
          <w:sz w:val="20"/>
        </w:rPr>
        <w:t>Credit Facility</w:t>
      </w:r>
      <w:r>
        <w:rPr>
          <w:rFonts w:ascii="Times New Roman" w:hAnsi="Times New Roman"/>
          <w:caps w:val="false"/>
          <w:smallCaps w:val="false"/>
          <w:sz w:val="20"/>
        </w:rPr>
        <w:t xml:space="preserve"> </w:t>
      </w:r>
    </w:p>
    <w:p>
      <w:pPr>
        <w:pStyle w:val="TextBody"/>
        <w:bidi w:val="0"/>
        <w:spacing w:before="0" w:after="0"/>
        <w:jc w:val="left"/>
        <w:rPr>
          <w:caps w:val="false"/>
          <w:smallCaps w:val="false"/>
        </w:rPr>
      </w:pPr>
      <w:r>
        <w:rPr>
          <w:caps w:val="false"/>
          <w:smallCaps w:val="false"/>
        </w:rPr>
        <w:t xml:space="preserve">  </w:t>
      </w:r>
    </w:p>
    <w:p>
      <w:pPr>
        <w:pStyle w:val="TextBody"/>
        <w:bidi w:val="0"/>
        <w:spacing w:before="0" w:after="0"/>
        <w:jc w:val="both"/>
        <w:rPr>
          <w:rFonts w:ascii="Times New Roman" w:hAnsi="Times New Roman"/>
          <w:caps w:val="false"/>
          <w:smallCaps w:val="false"/>
          <w:sz w:val="20"/>
        </w:rPr>
      </w:pPr>
      <w:r>
        <w:rPr>
          <w:rFonts w:ascii="Times New Roman" w:hAnsi="Times New Roman"/>
          <w:caps w:val="false"/>
          <w:smallCaps w:val="false"/>
          <w:sz w:val="20"/>
        </w:rPr>
        <w:t xml:space="preserve">On September 16, 2025, effective August 1, 2025, the Company entered into a First Amendment to Credit Agreement and Limited Waiver (“Amendment”) with FirstBank, as administrative agent for the lenders party thereto, and such lenders.  </w:t>
      </w:r>
    </w:p>
    <w:p>
      <w:pPr>
        <w:pStyle w:val="TextBody"/>
        <w:bidi w:val="0"/>
        <w:spacing w:before="0" w:after="0"/>
        <w:jc w:val="both"/>
        <w:rPr>
          <w:rFonts w:ascii="Times New Roman" w:hAnsi="Times New Roman"/>
          <w:caps w:val="false"/>
          <w:smallCaps w:val="false"/>
          <w:sz w:val="20"/>
        </w:rPr>
      </w:pPr>
      <w:r>
        <w:rPr>
          <w:rFonts w:ascii="Times New Roman" w:hAnsi="Times New Roman"/>
          <w:caps w:val="false"/>
          <w:smallCaps w:val="false"/>
          <w:sz w:val="20"/>
        </w:rPr>
        <w:t xml:space="preserve">Significant revisions made to the Credit Amendment as a result of the Amendment include extending the maturity date of amounts owed from January 5, 2026 to May 31, 2029, lowering the borrowing base from $20.0 million to $10.0 million, and deferring the next test period for the ratio of total debt to EBITDAX to March 31, 2026. The Company expensed $53 thousand of remaining capitalized deferred financing costs associated with the Credit Agreement during the third quarter of 2025 and capitalized $60 thousand of deferred financing costs attributable to the Amendment. </w:t>
      </w:r>
    </w:p>
    <w:p>
      <w:pPr>
        <w:pStyle w:val="TextBody"/>
        <w:bidi w:val="0"/>
        <w:spacing w:before="0" w:after="0"/>
        <w:jc w:val="both"/>
        <w:rPr>
          <w:caps w:val="false"/>
          <w:smallCaps w:val="false"/>
        </w:rPr>
      </w:pPr>
      <w:r>
        <w:rPr>
          <w:caps w:val="false"/>
          <w:smallCaps w:val="false"/>
        </w:rPr>
        <w:t xml:space="preserve">  </w:t>
      </w:r>
    </w:p>
    <w:p>
      <w:pPr>
        <w:pStyle w:val="TextBody"/>
        <w:bidi w:val="0"/>
        <w:jc w:val="both"/>
        <w:rPr>
          <w:rFonts w:ascii="Times New Roman" w:hAnsi="Times New Roman"/>
          <w:caps w:val="false"/>
          <w:smallCaps w:val="false"/>
          <w:sz w:val="20"/>
        </w:rPr>
      </w:pPr>
      <w:r>
        <w:rPr>
          <w:rFonts w:ascii="Times New Roman" w:hAnsi="Times New Roman"/>
          <w:b/>
          <w:i/>
          <w:caps w:val="false"/>
          <w:smallCaps w:val="false"/>
          <w:sz w:val="20"/>
        </w:rPr>
        <w:t>Committed Equity Facility</w:t>
      </w:r>
      <w:r>
        <w:rPr>
          <w:rFonts w:ascii="Times New Roman" w:hAnsi="Times New Roman"/>
          <w:caps w:val="false"/>
          <w:smallCaps w:val="false"/>
          <w:sz w:val="20"/>
        </w:rPr>
        <w:t xml:space="preserve">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On October 9, 2025, the Company entered into a Common Stock Purchase Agreement and related Registration Rights Agreement with Roth Principal Investments, LLC (“Roth Principal”), providing a discretionary equity facility of up to $25.0 million. Following SEC effectiveness of a resale registration statement (which the Company does not anticipate being declared effective until the current government shutdown ends), the Company may, at its option over 24 months from the date the resale registration is declared effective and certain other conditions are met, sell shares of common stock to Roth Principal at a price based on the Nasdaq volume weighted average prices during a specific pricing period, less a 2.5% discount, subject to pricing and ownership limits. The equity facility is described in greater detail below under “</w:t>
      </w:r>
      <w:r>
        <w:rPr>
          <w:rFonts w:ascii="Times New Roman" w:hAnsi="Times New Roman"/>
          <w:i/>
          <w:caps w:val="false"/>
          <w:smallCaps w:val="false"/>
          <w:sz w:val="20"/>
        </w:rPr>
        <w:t>Liquidity and Capital Resources</w:t>
      </w:r>
      <w:r>
        <w:rPr>
          <w:rFonts w:ascii="Times New Roman" w:hAnsi="Times New Roman"/>
          <w:caps w:val="false"/>
          <w:smallCaps w:val="false"/>
          <w:sz w:val="20"/>
        </w:rPr>
        <w:t>—</w:t>
      </w:r>
      <w:r>
        <w:rPr>
          <w:rFonts w:ascii="Times New Roman" w:hAnsi="Times New Roman"/>
          <w:i/>
          <w:caps w:val="false"/>
          <w:smallCaps w:val="false"/>
          <w:sz w:val="20"/>
        </w:rPr>
        <w:t>Committed Equity Facility</w:t>
      </w:r>
      <w:r>
        <w:rPr>
          <w:rFonts w:ascii="Times New Roman" w:hAnsi="Times New Roman"/>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Plan of Operations and Strategy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During the remainder of 2025 and beyond, we intend to seek additional opportunities in the oil, natural gas and industrial gas sectors, including but not limited to, further acquisition of assets, participation with industry partners in exploration and development projects, acquisition of existing companies, and the purchase of other industrial gas assets. This includes contracting for the off and on-site construction of our processing facility, negotiating off take and other operating arrangements, and finalizing gathering design and other infrastructure needs.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Key elements of our business strategy include:</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70"/>
        <w:gridCol w:w="10035"/>
      </w:tblGrid>
      <w:tr>
        <w:trPr/>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1003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i/>
                <w:caps w:val="false"/>
                <w:smallCaps w:val="false"/>
                <w:sz w:val="20"/>
              </w:rPr>
              <w:t>Deploy our Capital in a Conservative and Strategic Manner and Review Opportunities to Bolster our Liquidity</w:t>
            </w:r>
            <w:r>
              <w:rPr>
                <w:rFonts w:ascii="Times New Roman;Times;serif" w:hAnsi="Times New Roman;Times;serif"/>
                <w:caps w:val="false"/>
                <w:smallCaps w:val="false"/>
                <w:sz w:val="20"/>
              </w:rPr>
              <w:t>. In the current industry environment, maintaining liquidity is critical. Therefore, we plan to be highly selective in the projects we evaluate and to review opportunities to bolster our liquidity and financial position through various means.</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70"/>
        <w:gridCol w:w="10035"/>
      </w:tblGrid>
      <w:tr>
        <w:trPr/>
        <w:tc>
          <w:tcPr>
            <w:tcW w:w="17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1003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i/>
                <w:caps w:val="false"/>
                <w:smallCaps w:val="false"/>
                <w:sz w:val="20"/>
              </w:rPr>
              <w:t>Evaluate and Pursue Value-Enhancing Transactions</w:t>
            </w:r>
            <w:r>
              <w:rPr>
                <w:rFonts w:ascii="Times New Roman;Times;serif" w:hAnsi="Times New Roman;Times;serif"/>
                <w:caps w:val="false"/>
                <w:smallCaps w:val="false"/>
                <w:sz w:val="20"/>
              </w:rPr>
              <w:t>. We plan to continuously evaluate strategic alternative opportunities with the goal of enhancing stockholder value.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Critical Accounting Policies and Estimates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 xml:space="preserve">The preparation of our unaudited Condensed Consolidated Financial Statements in conformity with generally accepted accounting principles in the United States (“GAAP”) requires us to make assumptions and estimates that affect the reported amounts of assets, liabilities, revenues and expenses, as well as the disclosure of contingent assets and liabilities at the date of our financial statements and the reported amounts of revenues and expenses during the reporting period. Actual results may differ from these estimates under different assumptions or conditions. A summary of our significant accounting policies is detailed in </w:t>
      </w:r>
      <w:r>
        <w:rPr>
          <w:rFonts w:ascii="Times New Roman" w:hAnsi="Times New Roman"/>
          <w:i/>
          <w:caps w:val="false"/>
          <w:smallCaps w:val="false"/>
          <w:sz w:val="20"/>
        </w:rPr>
        <w:t xml:space="preserve">Part II, Item 7 </w:t>
      </w:r>
      <w:r>
        <w:rPr>
          <w:rFonts w:ascii="Times New Roman" w:hAnsi="Times New Roman"/>
          <w:caps w:val="false"/>
          <w:smallCaps w:val="false"/>
          <w:sz w:val="20"/>
        </w:rPr>
        <w:t xml:space="preserve">– </w:t>
      </w:r>
      <w:r>
        <w:rPr>
          <w:rFonts w:ascii="Times New Roman" w:hAnsi="Times New Roman"/>
          <w:i/>
          <w:caps w:val="false"/>
          <w:smallCaps w:val="false"/>
          <w:sz w:val="20"/>
        </w:rPr>
        <w:t>Management</w:t>
      </w:r>
      <w:r>
        <w:rPr>
          <w:rFonts w:ascii="Times New Roman" w:hAnsi="Times New Roman"/>
          <w:caps w:val="false"/>
          <w:smallCaps w:val="false"/>
          <w:sz w:val="20"/>
        </w:rPr>
        <w:t>’</w:t>
      </w:r>
      <w:r>
        <w:rPr>
          <w:rFonts w:ascii="Times New Roman" w:hAnsi="Times New Roman"/>
          <w:i/>
          <w:caps w:val="false"/>
          <w:smallCaps w:val="false"/>
          <w:sz w:val="20"/>
        </w:rPr>
        <w:t xml:space="preserve">s Discussion and Analysis of Financial Condition and Results of Operations </w:t>
      </w:r>
      <w:r>
        <w:rPr>
          <w:rFonts w:ascii="Times New Roman" w:hAnsi="Times New Roman"/>
          <w:caps w:val="false"/>
          <w:smallCaps w:val="false"/>
          <w:sz w:val="20"/>
        </w:rPr>
        <w:t>of our 2024 Annual Report on Form 10-K filed with the SEC on March 13, 2025.</w:t>
      </w:r>
    </w:p>
    <w:p>
      <w:pPr>
        <w:pStyle w:val="TextBody"/>
        <w:bidi w:val="0"/>
        <w:spacing w:before="0" w:after="283"/>
        <w:jc w:val="left"/>
        <w:rPr/>
      </w:pPr>
      <w:r>
        <w:rPr/>
        <w:t xml:space="preserve">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Results of Operations</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Comparison of our Statements of Operations for the Three Months Ended September 30, 2025 and 2024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For the three months ended September 30, 2025, we recorded a net loss of $3.3 million, which was primarily due to declining commodity prices and lower production, resulting in reduced revenue for the period, which was also affected by property divestitures which occurred after the fourth quarter of 2023. In the following sections, we discuss our revenue, operating expenses, and other income (expense) for the three months ended September 30, 2025 compared to the three months ended September 30, 2024.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22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i/>
          <w:caps w:val="false"/>
          <w:smallCaps w:val="false"/>
          <w:sz w:val="20"/>
        </w:rPr>
        <w:t xml:space="preserve">Revenue. </w:t>
      </w:r>
      <w:r>
        <w:rPr>
          <w:rFonts w:ascii="Times New Roman" w:hAnsi="Times New Roman"/>
          <w:caps w:val="false"/>
          <w:smallCaps w:val="false"/>
          <w:sz w:val="20"/>
        </w:rPr>
        <w:t>Presented below is a comparison of our oil and natural gas sales, production quantities and average sales prices for the three months ended September 30, 2025 and 2024:</w:t>
      </w:r>
    </w:p>
    <w:p>
      <w:pPr>
        <w:pStyle w:val="TextBody"/>
        <w:bidi w:val="0"/>
        <w:spacing w:before="0" w:after="0"/>
        <w:ind w:left="0" w:right="0" w:hanging="0"/>
        <w:jc w:val="left"/>
        <w:rPr>
          <w:caps w:val="false"/>
          <w:smallCaps w:val="false"/>
        </w:rPr>
      </w:pPr>
      <w:r>
        <w:rPr>
          <w:caps w:val="false"/>
          <w:smallCaps w:val="false"/>
        </w:rPr>
        <w:t> </w:t>
      </w:r>
    </w:p>
    <w:tbl>
      <w:tblPr>
        <w:tblW w:w="7885" w:type="dxa"/>
        <w:jc w:val="left"/>
        <w:tblInd w:w="0" w:type="dxa"/>
        <w:tblLayout w:type="fixed"/>
        <w:tblCellMar>
          <w:top w:w="0" w:type="dxa"/>
          <w:left w:w="0" w:type="dxa"/>
          <w:bottom w:w="0" w:type="dxa"/>
          <w:right w:w="0" w:type="dxa"/>
        </w:tblCellMar>
      </w:tblPr>
      <w:tblGrid>
        <w:gridCol w:w="2480"/>
        <w:gridCol w:w="60"/>
        <w:gridCol w:w="239"/>
        <w:gridCol w:w="1133"/>
        <w:gridCol w:w="114"/>
        <w:gridCol w:w="114"/>
        <w:gridCol w:w="239"/>
        <w:gridCol w:w="1335"/>
        <w:gridCol w:w="64"/>
        <w:gridCol w:w="64"/>
        <w:gridCol w:w="133"/>
        <w:gridCol w:w="807"/>
        <w:gridCol w:w="85"/>
        <w:gridCol w:w="64"/>
        <w:gridCol w:w="121"/>
        <w:gridCol w:w="588"/>
        <w:gridCol w:w="245"/>
      </w:tblGrid>
      <w:tr>
        <w:trPr/>
        <w:tc>
          <w:tcPr>
            <w:tcW w:w="24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3174"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Three months ended September 30,</w:t>
            </w:r>
          </w:p>
        </w:tc>
        <w:tc>
          <w:tcPr>
            <w:tcW w:w="64" w:type="dxa"/>
            <w:tcBorders/>
            <w:shd w:fill="FFFFFF" w:val="clear"/>
            <w:vAlign w:val="center"/>
          </w:tcPr>
          <w:p>
            <w:pPr>
              <w:pStyle w:val="TableContents"/>
              <w:bidi w:val="0"/>
              <w:spacing w:before="0" w:after="283"/>
              <w:jc w:val="left"/>
              <w:rPr/>
            </w:pPr>
            <w:r>
              <w:rPr/>
              <w:t> </w:t>
            </w:r>
          </w:p>
        </w:tc>
        <w:tc>
          <w:tcPr>
            <w:tcW w:w="64" w:type="dxa"/>
            <w:tcBorders/>
            <w:shd w:fill="FFFFFF" w:val="clear"/>
            <w:vAlign w:val="center"/>
          </w:tcPr>
          <w:p>
            <w:pPr>
              <w:pStyle w:val="TableContents"/>
              <w:bidi w:val="0"/>
              <w:spacing w:before="0" w:after="283"/>
              <w:ind w:left="0" w:right="0" w:hanging="0"/>
              <w:jc w:val="left"/>
              <w:rPr/>
            </w:pPr>
            <w:r>
              <w:rPr/>
              <w:t> </w:t>
            </w:r>
          </w:p>
        </w:tc>
        <w:tc>
          <w:tcPr>
            <w:tcW w:w="1798"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Change</w:t>
            </w:r>
          </w:p>
        </w:tc>
        <w:tc>
          <w:tcPr>
            <w:tcW w:w="245" w:type="dxa"/>
            <w:tcBorders/>
            <w:shd w:fill="FFFFFF" w:val="clear"/>
            <w:vAlign w:val="center"/>
          </w:tcPr>
          <w:p>
            <w:pPr>
              <w:pStyle w:val="TableContents"/>
              <w:bidi w:val="0"/>
              <w:spacing w:before="0" w:after="283"/>
              <w:jc w:val="left"/>
              <w:rPr/>
            </w:pPr>
            <w:r>
              <w:rPr/>
              <w:t> </w:t>
            </w:r>
          </w:p>
        </w:tc>
      </w:tr>
      <w:tr>
        <w:trPr/>
        <w:tc>
          <w:tcPr>
            <w:tcW w:w="24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372"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2025</w:t>
            </w:r>
          </w:p>
        </w:tc>
        <w:tc>
          <w:tcPr>
            <w:tcW w:w="114" w:type="dxa"/>
            <w:tcBorders/>
            <w:shd w:fill="FFFFFF" w:val="clear"/>
            <w:vAlign w:val="center"/>
          </w:tcPr>
          <w:p>
            <w:pPr>
              <w:pStyle w:val="TableContents"/>
              <w:bidi w:val="0"/>
              <w:spacing w:before="0" w:after="283"/>
              <w:jc w:val="left"/>
              <w:rPr/>
            </w:pPr>
            <w:r>
              <w:rPr/>
              <w:t> </w:t>
            </w:r>
          </w:p>
        </w:tc>
        <w:tc>
          <w:tcPr>
            <w:tcW w:w="114" w:type="dxa"/>
            <w:tcBorders/>
            <w:shd w:fill="FFFFFF" w:val="clear"/>
            <w:vAlign w:val="center"/>
          </w:tcPr>
          <w:p>
            <w:pPr>
              <w:pStyle w:val="TableContents"/>
              <w:bidi w:val="0"/>
              <w:spacing w:before="0" w:after="283"/>
              <w:ind w:left="0" w:right="0" w:hanging="0"/>
              <w:jc w:val="left"/>
              <w:rPr/>
            </w:pPr>
            <w:r>
              <w:rPr/>
              <w:t> </w:t>
            </w:r>
          </w:p>
        </w:tc>
        <w:tc>
          <w:tcPr>
            <w:tcW w:w="1574"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2024</w:t>
            </w:r>
          </w:p>
        </w:tc>
        <w:tc>
          <w:tcPr>
            <w:tcW w:w="64" w:type="dxa"/>
            <w:tcBorders/>
            <w:shd w:fill="FFFFFF" w:val="clear"/>
            <w:vAlign w:val="center"/>
          </w:tcPr>
          <w:p>
            <w:pPr>
              <w:pStyle w:val="TableContents"/>
              <w:bidi w:val="0"/>
              <w:spacing w:before="0" w:after="283"/>
              <w:jc w:val="left"/>
              <w:rPr/>
            </w:pPr>
            <w:r>
              <w:rPr/>
              <w:t> </w:t>
            </w:r>
          </w:p>
        </w:tc>
        <w:tc>
          <w:tcPr>
            <w:tcW w:w="64" w:type="dxa"/>
            <w:tcBorders/>
            <w:shd w:fill="FFFFFF" w:val="clear"/>
            <w:vAlign w:val="center"/>
          </w:tcPr>
          <w:p>
            <w:pPr>
              <w:pStyle w:val="TableContents"/>
              <w:bidi w:val="0"/>
              <w:spacing w:before="0" w:after="283"/>
              <w:ind w:left="0" w:right="0" w:hanging="0"/>
              <w:jc w:val="left"/>
              <w:rPr/>
            </w:pPr>
            <w:r>
              <w:rPr/>
              <w:t> </w:t>
            </w:r>
          </w:p>
        </w:tc>
        <w:tc>
          <w:tcPr>
            <w:tcW w:w="94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Amount</w:t>
            </w:r>
          </w:p>
        </w:tc>
        <w:tc>
          <w:tcPr>
            <w:tcW w:w="85" w:type="dxa"/>
            <w:tcBorders/>
            <w:shd w:fill="FFFFFF" w:val="clear"/>
            <w:vAlign w:val="center"/>
          </w:tcPr>
          <w:p>
            <w:pPr>
              <w:pStyle w:val="TableContents"/>
              <w:bidi w:val="0"/>
              <w:spacing w:before="0" w:after="283"/>
              <w:jc w:val="left"/>
              <w:rPr/>
            </w:pPr>
            <w:r>
              <w:rPr/>
              <w:t> </w:t>
            </w:r>
          </w:p>
        </w:tc>
        <w:tc>
          <w:tcPr>
            <w:tcW w:w="64" w:type="dxa"/>
            <w:tcBorders/>
            <w:shd w:fill="FFFFFF" w:val="clear"/>
            <w:vAlign w:val="center"/>
          </w:tcPr>
          <w:p>
            <w:pPr>
              <w:pStyle w:val="TableContents"/>
              <w:bidi w:val="0"/>
              <w:spacing w:before="0" w:after="283"/>
              <w:ind w:left="0" w:right="0" w:hanging="0"/>
              <w:jc w:val="left"/>
              <w:rPr/>
            </w:pPr>
            <w:r>
              <w:rPr/>
              <w:t> </w:t>
            </w:r>
          </w:p>
        </w:tc>
        <w:tc>
          <w:tcPr>
            <w:tcW w:w="709"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Percent</w:t>
            </w:r>
          </w:p>
        </w:tc>
        <w:tc>
          <w:tcPr>
            <w:tcW w:w="245" w:type="dxa"/>
            <w:tcBorders/>
            <w:shd w:fill="FFFFFF" w:val="clear"/>
            <w:vAlign w:val="center"/>
          </w:tcPr>
          <w:p>
            <w:pPr>
              <w:pStyle w:val="TableContents"/>
              <w:bidi w:val="0"/>
              <w:spacing w:before="0" w:after="283"/>
              <w:jc w:val="left"/>
              <w:rPr/>
            </w:pPr>
            <w:r>
              <w:rPr/>
              <w:t> </w:t>
            </w:r>
          </w:p>
        </w:tc>
      </w:tr>
      <w:tr>
        <w:trPr/>
        <w:tc>
          <w:tcPr>
            <w:tcW w:w="24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5100" w:type="dxa"/>
            <w:gridSpan w:val="14"/>
            <w:tcBorders/>
            <w:shd w:fill="FFFFFF" w:val="cle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(in thousands except average prices and production quantities)</w:t>
            </w:r>
          </w:p>
        </w:tc>
        <w:tc>
          <w:tcPr>
            <w:tcW w:w="245" w:type="dxa"/>
            <w:tcBorders/>
            <w:shd w:fill="FFFFFF" w:val="clear"/>
            <w:vAlign w:val="center"/>
          </w:tcPr>
          <w:p>
            <w:pPr>
              <w:pStyle w:val="TableContents"/>
              <w:bidi w:val="0"/>
              <w:spacing w:before="0" w:after="283"/>
              <w:jc w:val="left"/>
              <w:rPr/>
            </w:pPr>
            <w:r>
              <w:rPr/>
              <w:t> </w:t>
            </w:r>
          </w:p>
        </w:tc>
      </w:tr>
      <w:tr>
        <w:trPr/>
        <w:tc>
          <w:tcPr>
            <w:tcW w:w="2480" w:type="dxa"/>
            <w:tcBorders/>
            <w:shd w:fill="CCEEFF" w:val="clear"/>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Revenue:</w:t>
            </w:r>
          </w:p>
        </w:tc>
        <w:tc>
          <w:tcPr>
            <w:tcW w:w="60" w:type="dxa"/>
            <w:tcBorders/>
            <w:shd w:fill="CCEEFF" w:val="clear"/>
            <w:vAlign w:val="center"/>
          </w:tcPr>
          <w:p>
            <w:pPr>
              <w:pStyle w:val="TableContents"/>
              <w:bidi w:val="0"/>
              <w:spacing w:before="0" w:after="283"/>
              <w:jc w:val="left"/>
              <w:rPr/>
            </w:pPr>
            <w:r>
              <w:rPr/>
              <w:t> </w:t>
            </w:r>
          </w:p>
        </w:tc>
        <w:tc>
          <w:tcPr>
            <w:tcW w:w="239" w:type="dxa"/>
            <w:tcBorders/>
            <w:shd w:fill="CCEEFF" w:val="clear"/>
            <w:vAlign w:val="center"/>
          </w:tcPr>
          <w:p>
            <w:pPr>
              <w:pStyle w:val="TableContents"/>
              <w:bidi w:val="0"/>
              <w:spacing w:before="0" w:after="283"/>
              <w:jc w:val="left"/>
              <w:rPr/>
            </w:pPr>
            <w:r>
              <w:rPr/>
              <w:t> </w:t>
            </w:r>
          </w:p>
        </w:tc>
        <w:tc>
          <w:tcPr>
            <w:tcW w:w="1133" w:type="dxa"/>
            <w:tcBorders/>
            <w:shd w:fill="CCEEFF" w:val="clear"/>
            <w:vAlign w:val="center"/>
          </w:tcPr>
          <w:p>
            <w:pPr>
              <w:pStyle w:val="TableContents"/>
              <w:bidi w:val="0"/>
              <w:spacing w:before="0" w:after="283"/>
              <w:jc w:val="left"/>
              <w:rPr/>
            </w:pPr>
            <w:r>
              <w:rPr/>
              <w:t> </w:t>
            </w:r>
          </w:p>
        </w:tc>
        <w:tc>
          <w:tcPr>
            <w:tcW w:w="114" w:type="dxa"/>
            <w:tcBorders/>
            <w:shd w:fill="CCEEFF" w:val="clear"/>
            <w:vAlign w:val="center"/>
          </w:tcPr>
          <w:p>
            <w:pPr>
              <w:pStyle w:val="TableContents"/>
              <w:bidi w:val="0"/>
              <w:spacing w:before="0" w:after="283"/>
              <w:jc w:val="left"/>
              <w:rPr/>
            </w:pPr>
            <w:r>
              <w:rPr/>
              <w:t> </w:t>
            </w:r>
          </w:p>
        </w:tc>
        <w:tc>
          <w:tcPr>
            <w:tcW w:w="114" w:type="dxa"/>
            <w:tcBorders/>
            <w:shd w:fill="CCEEFF" w:val="clear"/>
            <w:vAlign w:val="center"/>
          </w:tcPr>
          <w:p>
            <w:pPr>
              <w:pStyle w:val="TableContents"/>
              <w:bidi w:val="0"/>
              <w:spacing w:before="0" w:after="283"/>
              <w:jc w:val="left"/>
              <w:rPr/>
            </w:pPr>
            <w:r>
              <w:rPr/>
              <w:t> </w:t>
            </w:r>
          </w:p>
        </w:tc>
        <w:tc>
          <w:tcPr>
            <w:tcW w:w="239" w:type="dxa"/>
            <w:tcBorders/>
            <w:shd w:fill="CCEEFF" w:val="clear"/>
            <w:vAlign w:val="center"/>
          </w:tcPr>
          <w:p>
            <w:pPr>
              <w:pStyle w:val="TableContents"/>
              <w:bidi w:val="0"/>
              <w:spacing w:before="0" w:after="283"/>
              <w:jc w:val="left"/>
              <w:rPr/>
            </w:pPr>
            <w:r>
              <w:rPr/>
              <w:t> </w:t>
            </w:r>
          </w:p>
        </w:tc>
        <w:tc>
          <w:tcPr>
            <w:tcW w:w="1335"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jc w:val="left"/>
              <w:rPr/>
            </w:pPr>
            <w:r>
              <w:rPr/>
              <w:t> </w:t>
            </w:r>
          </w:p>
        </w:tc>
        <w:tc>
          <w:tcPr>
            <w:tcW w:w="133" w:type="dxa"/>
            <w:tcBorders/>
            <w:shd w:fill="CCEEFF" w:val="clear"/>
            <w:vAlign w:val="center"/>
          </w:tcPr>
          <w:p>
            <w:pPr>
              <w:pStyle w:val="TableContents"/>
              <w:bidi w:val="0"/>
              <w:spacing w:before="0" w:after="283"/>
              <w:jc w:val="left"/>
              <w:rPr/>
            </w:pPr>
            <w:r>
              <w:rPr/>
              <w:t> </w:t>
            </w:r>
          </w:p>
        </w:tc>
        <w:tc>
          <w:tcPr>
            <w:tcW w:w="807" w:type="dxa"/>
            <w:tcBorders/>
            <w:shd w:fill="CCEEFF" w:val="clear"/>
            <w:vAlign w:val="center"/>
          </w:tcPr>
          <w:p>
            <w:pPr>
              <w:pStyle w:val="TableContents"/>
              <w:bidi w:val="0"/>
              <w:spacing w:before="0" w:after="283"/>
              <w:jc w:val="left"/>
              <w:rPr/>
            </w:pPr>
            <w:r>
              <w:rPr/>
              <w:t> </w:t>
            </w:r>
          </w:p>
        </w:tc>
        <w:tc>
          <w:tcPr>
            <w:tcW w:w="85"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jc w:val="left"/>
              <w:rPr/>
            </w:pPr>
            <w:r>
              <w:rPr/>
              <w:t> </w:t>
            </w:r>
          </w:p>
        </w:tc>
        <w:tc>
          <w:tcPr>
            <w:tcW w:w="121" w:type="dxa"/>
            <w:tcBorders/>
            <w:shd w:fill="CCEEFF" w:val="clear"/>
            <w:vAlign w:val="center"/>
          </w:tcPr>
          <w:p>
            <w:pPr>
              <w:pStyle w:val="TableContents"/>
              <w:bidi w:val="0"/>
              <w:spacing w:before="0" w:after="283"/>
              <w:jc w:val="left"/>
              <w:rPr/>
            </w:pPr>
            <w:r>
              <w:rPr/>
              <w:t> </w:t>
            </w:r>
          </w:p>
        </w:tc>
        <w:tc>
          <w:tcPr>
            <w:tcW w:w="588" w:type="dxa"/>
            <w:tcBorders/>
            <w:shd w:fill="CCEEFF" w:val="clear"/>
            <w:vAlign w:val="center"/>
          </w:tcPr>
          <w:p>
            <w:pPr>
              <w:pStyle w:val="TableContents"/>
              <w:bidi w:val="0"/>
              <w:spacing w:before="0" w:after="283"/>
              <w:jc w:val="left"/>
              <w:rPr/>
            </w:pPr>
            <w:r>
              <w:rPr/>
              <w:t> </w:t>
            </w:r>
          </w:p>
        </w:tc>
        <w:tc>
          <w:tcPr>
            <w:tcW w:w="245" w:type="dxa"/>
            <w:tcBorders/>
            <w:shd w:fill="CCEEFF" w:val="clear"/>
            <w:vAlign w:val="center"/>
          </w:tcPr>
          <w:p>
            <w:pPr>
              <w:pStyle w:val="TableContents"/>
              <w:bidi w:val="0"/>
              <w:spacing w:before="0" w:after="283"/>
              <w:jc w:val="left"/>
              <w:rPr/>
            </w:pPr>
            <w:r>
              <w:rPr/>
              <w:t> </w:t>
            </w:r>
          </w:p>
        </w:tc>
      </w:tr>
      <w:tr>
        <w:trPr/>
        <w:tc>
          <w:tcPr>
            <w:tcW w:w="2480" w:type="dxa"/>
            <w:tcBorders/>
            <w:shd w:fill="FFFF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Oil</w:t>
            </w:r>
          </w:p>
        </w:tc>
        <w:tc>
          <w:tcPr>
            <w:tcW w:w="60" w:type="dxa"/>
            <w:tcBorders/>
            <w:shd w:fill="FFFFFF" w:val="clear"/>
            <w:vAlign w:val="center"/>
          </w:tcPr>
          <w:p>
            <w:pPr>
              <w:pStyle w:val="TableContents"/>
              <w:bidi w:val="0"/>
              <w:spacing w:before="0" w:after="283"/>
              <w:ind w:left="0" w:right="0" w:hanging="0"/>
              <w:jc w:val="left"/>
              <w:rPr/>
            </w:pPr>
            <w:r>
              <w:rPr/>
              <w:t> </w:t>
            </w:r>
          </w:p>
        </w:tc>
        <w:tc>
          <w:tcPr>
            <w:tcW w:w="239" w:type="dxa"/>
            <w:tcBorders/>
            <w:shd w:fill="FFFF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1133"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1,587</w:t>
            </w:r>
          </w:p>
        </w:tc>
        <w:tc>
          <w:tcPr>
            <w:tcW w:w="114" w:type="dxa"/>
            <w:tcBorders/>
            <w:shd w:fill="FFFFFF" w:val="clear"/>
            <w:vAlign w:val="center"/>
          </w:tcPr>
          <w:p>
            <w:pPr>
              <w:pStyle w:val="TableContents"/>
              <w:bidi w:val="0"/>
              <w:spacing w:before="0" w:after="283"/>
              <w:jc w:val="left"/>
              <w:rPr/>
            </w:pPr>
            <w:r>
              <w:rPr/>
              <w:t> </w:t>
            </w:r>
          </w:p>
        </w:tc>
        <w:tc>
          <w:tcPr>
            <w:tcW w:w="114" w:type="dxa"/>
            <w:tcBorders/>
            <w:shd w:fill="FFFFFF" w:val="clear"/>
            <w:vAlign w:val="center"/>
          </w:tcPr>
          <w:p>
            <w:pPr>
              <w:pStyle w:val="TableContents"/>
              <w:bidi w:val="0"/>
              <w:spacing w:before="0" w:after="283"/>
              <w:ind w:left="0" w:right="0" w:hanging="0"/>
              <w:jc w:val="left"/>
              <w:rPr/>
            </w:pPr>
            <w:r>
              <w:rPr/>
              <w:t> </w:t>
            </w:r>
          </w:p>
        </w:tc>
        <w:tc>
          <w:tcPr>
            <w:tcW w:w="239" w:type="dxa"/>
            <w:tcBorders/>
            <w:shd w:fill="FFFF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1335"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4,375</w:t>
            </w:r>
          </w:p>
        </w:tc>
        <w:tc>
          <w:tcPr>
            <w:tcW w:w="64" w:type="dxa"/>
            <w:tcBorders/>
            <w:shd w:fill="FFFFFF" w:val="clear"/>
            <w:vAlign w:val="center"/>
          </w:tcPr>
          <w:p>
            <w:pPr>
              <w:pStyle w:val="TableContents"/>
              <w:bidi w:val="0"/>
              <w:spacing w:before="0" w:after="283"/>
              <w:jc w:val="left"/>
              <w:rPr/>
            </w:pPr>
            <w:r>
              <w:rPr/>
              <w:t> </w:t>
            </w:r>
          </w:p>
        </w:tc>
        <w:tc>
          <w:tcPr>
            <w:tcW w:w="64" w:type="dxa"/>
            <w:tcBorders/>
            <w:shd w:fill="FFFFFF" w:val="clear"/>
            <w:vAlign w:val="center"/>
          </w:tcPr>
          <w:p>
            <w:pPr>
              <w:pStyle w:val="TableContents"/>
              <w:bidi w:val="0"/>
              <w:spacing w:before="0" w:after="283"/>
              <w:ind w:left="0" w:right="0" w:hanging="0"/>
              <w:jc w:val="left"/>
              <w:rPr/>
            </w:pPr>
            <w:r>
              <w:rPr/>
              <w:t> </w:t>
            </w:r>
          </w:p>
        </w:tc>
        <w:tc>
          <w:tcPr>
            <w:tcW w:w="133" w:type="dxa"/>
            <w:tcBorders/>
            <w:shd w:fill="FFFF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807"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(2,788</w:t>
            </w:r>
          </w:p>
        </w:tc>
        <w:tc>
          <w:tcPr>
            <w:tcW w:w="85"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4" w:type="dxa"/>
            <w:tcBorders/>
            <w:shd w:fill="FFFFFF" w:val="clear"/>
            <w:vAlign w:val="center"/>
          </w:tcPr>
          <w:p>
            <w:pPr>
              <w:pStyle w:val="TableContents"/>
              <w:bidi w:val="0"/>
              <w:spacing w:before="0" w:after="283"/>
              <w:jc w:val="left"/>
              <w:rPr/>
            </w:pPr>
            <w:r>
              <w:rPr/>
              <w:t> </w:t>
            </w:r>
          </w:p>
        </w:tc>
        <w:tc>
          <w:tcPr>
            <w:tcW w:w="121" w:type="dxa"/>
            <w:tcBorders/>
            <w:shd w:fill="FFFFFF" w:val="clear"/>
            <w:vAlign w:val="center"/>
          </w:tcPr>
          <w:p>
            <w:pPr>
              <w:pStyle w:val="TableContents"/>
              <w:bidi w:val="0"/>
              <w:spacing w:before="0" w:after="283"/>
              <w:ind w:left="0" w:right="0" w:hanging="0"/>
              <w:jc w:val="left"/>
              <w:rPr/>
            </w:pPr>
            <w:r>
              <w:rPr/>
              <w:t> </w:t>
            </w:r>
          </w:p>
        </w:tc>
        <w:tc>
          <w:tcPr>
            <w:tcW w:w="588"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(64</w:t>
            </w:r>
          </w:p>
        </w:tc>
        <w:tc>
          <w:tcPr>
            <w:tcW w:w="245"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r>
        <w:trPr/>
        <w:tc>
          <w:tcPr>
            <w:tcW w:w="2480" w:type="dxa"/>
            <w:tcBorders/>
            <w:shd w:fill="CCEE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Natural gas and liquids</w:t>
            </w:r>
          </w:p>
        </w:tc>
        <w:tc>
          <w:tcPr>
            <w:tcW w:w="60" w:type="dxa"/>
            <w:tcBorders/>
            <w:shd w:fill="CCEEFF" w:val="clear"/>
            <w:vAlign w:val="center"/>
          </w:tcPr>
          <w:p>
            <w:pPr>
              <w:pStyle w:val="TableContents"/>
              <w:bidi w:val="0"/>
              <w:spacing w:before="0" w:after="283"/>
              <w:jc w:val="left"/>
              <w:rPr/>
            </w:pPr>
            <w:r>
              <w:rPr/>
              <w:t> </w:t>
            </w:r>
          </w:p>
        </w:tc>
        <w:tc>
          <w:tcPr>
            <w:tcW w:w="239"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133"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151</w:t>
            </w:r>
          </w:p>
        </w:tc>
        <w:tc>
          <w:tcPr>
            <w:tcW w:w="114" w:type="dxa"/>
            <w:tcBorders/>
            <w:shd w:fill="CCEEFF" w:val="clear"/>
            <w:vAlign w:val="center"/>
          </w:tcPr>
          <w:p>
            <w:pPr>
              <w:pStyle w:val="TableContents"/>
              <w:bidi w:val="0"/>
              <w:spacing w:before="0" w:after="283"/>
              <w:jc w:val="left"/>
              <w:rPr/>
            </w:pPr>
            <w:r>
              <w:rPr/>
              <w:t> </w:t>
            </w:r>
          </w:p>
        </w:tc>
        <w:tc>
          <w:tcPr>
            <w:tcW w:w="114" w:type="dxa"/>
            <w:tcBorders/>
            <w:shd w:fill="CCEEFF" w:val="clear"/>
            <w:vAlign w:val="center"/>
          </w:tcPr>
          <w:p>
            <w:pPr>
              <w:pStyle w:val="TableContents"/>
              <w:bidi w:val="0"/>
              <w:spacing w:before="0" w:after="283"/>
              <w:jc w:val="left"/>
              <w:rPr/>
            </w:pPr>
            <w:r>
              <w:rPr/>
              <w:t> </w:t>
            </w:r>
          </w:p>
        </w:tc>
        <w:tc>
          <w:tcPr>
            <w:tcW w:w="239"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33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582</w:t>
            </w:r>
          </w:p>
        </w:tc>
        <w:tc>
          <w:tcPr>
            <w:tcW w:w="64"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jc w:val="left"/>
              <w:rPr/>
            </w:pPr>
            <w:r>
              <w:rPr/>
              <w:t> </w:t>
            </w:r>
          </w:p>
        </w:tc>
        <w:tc>
          <w:tcPr>
            <w:tcW w:w="133"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807"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(431</w:t>
            </w:r>
          </w:p>
        </w:tc>
        <w:tc>
          <w:tcPr>
            <w:tcW w:w="85"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4" w:type="dxa"/>
            <w:tcBorders/>
            <w:shd w:fill="CCEEFF" w:val="clear"/>
            <w:vAlign w:val="center"/>
          </w:tcPr>
          <w:p>
            <w:pPr>
              <w:pStyle w:val="TableContents"/>
              <w:bidi w:val="0"/>
              <w:spacing w:before="0" w:after="283"/>
              <w:jc w:val="left"/>
              <w:rPr/>
            </w:pPr>
            <w:r>
              <w:rPr/>
              <w:t> </w:t>
            </w:r>
          </w:p>
        </w:tc>
        <w:tc>
          <w:tcPr>
            <w:tcW w:w="121"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588"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(74</w:t>
            </w:r>
          </w:p>
        </w:tc>
        <w:tc>
          <w:tcPr>
            <w:tcW w:w="245"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r>
        <w:trPr/>
        <w:tc>
          <w:tcPr>
            <w:tcW w:w="24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39" w:type="dxa"/>
            <w:tcBorders/>
            <w:shd w:fill="FFFFFF" w:val="clear"/>
            <w:vAlign w:val="center"/>
          </w:tcPr>
          <w:p>
            <w:pPr>
              <w:pStyle w:val="TableContents"/>
              <w:bidi w:val="0"/>
              <w:spacing w:before="0" w:after="283"/>
              <w:jc w:val="left"/>
              <w:rPr/>
            </w:pPr>
            <w:r>
              <w:rPr/>
              <w:t> </w:t>
            </w:r>
          </w:p>
        </w:tc>
        <w:tc>
          <w:tcPr>
            <w:tcW w:w="1133" w:type="dxa"/>
            <w:tcBorders/>
            <w:shd w:fill="FFFFFF" w:val="clear"/>
            <w:vAlign w:val="center"/>
          </w:tcPr>
          <w:p>
            <w:pPr>
              <w:pStyle w:val="TableContents"/>
              <w:bidi w:val="0"/>
              <w:spacing w:before="0" w:after="283"/>
              <w:jc w:val="left"/>
              <w:rPr/>
            </w:pPr>
            <w:r>
              <w:rPr/>
              <w:t> </w:t>
            </w:r>
          </w:p>
        </w:tc>
        <w:tc>
          <w:tcPr>
            <w:tcW w:w="114" w:type="dxa"/>
            <w:tcBorders/>
            <w:shd w:fill="FFFFFF" w:val="clear"/>
            <w:vAlign w:val="center"/>
          </w:tcPr>
          <w:p>
            <w:pPr>
              <w:pStyle w:val="TableContents"/>
              <w:bidi w:val="0"/>
              <w:spacing w:before="0" w:after="283"/>
              <w:jc w:val="left"/>
              <w:rPr/>
            </w:pPr>
            <w:r>
              <w:rPr/>
              <w:t> </w:t>
            </w:r>
          </w:p>
        </w:tc>
        <w:tc>
          <w:tcPr>
            <w:tcW w:w="114" w:type="dxa"/>
            <w:tcBorders/>
            <w:shd w:fill="FFFFFF" w:val="clear"/>
            <w:vAlign w:val="center"/>
          </w:tcPr>
          <w:p>
            <w:pPr>
              <w:pStyle w:val="TableContents"/>
              <w:bidi w:val="0"/>
              <w:spacing w:before="0" w:after="283"/>
              <w:jc w:val="left"/>
              <w:rPr/>
            </w:pPr>
            <w:r>
              <w:rPr/>
              <w:t> </w:t>
            </w:r>
          </w:p>
        </w:tc>
        <w:tc>
          <w:tcPr>
            <w:tcW w:w="239" w:type="dxa"/>
            <w:tcBorders/>
            <w:shd w:fill="FFFFFF" w:val="clear"/>
            <w:vAlign w:val="center"/>
          </w:tcPr>
          <w:p>
            <w:pPr>
              <w:pStyle w:val="TableContents"/>
              <w:bidi w:val="0"/>
              <w:spacing w:before="0" w:after="283"/>
              <w:jc w:val="left"/>
              <w:rPr/>
            </w:pPr>
            <w:r>
              <w:rPr/>
              <w:t> </w:t>
            </w:r>
          </w:p>
        </w:tc>
        <w:tc>
          <w:tcPr>
            <w:tcW w:w="1335" w:type="dxa"/>
            <w:tcBorders/>
            <w:shd w:fill="FFFFFF" w:val="clear"/>
            <w:vAlign w:val="center"/>
          </w:tcPr>
          <w:p>
            <w:pPr>
              <w:pStyle w:val="TableContents"/>
              <w:bidi w:val="0"/>
              <w:spacing w:before="0" w:after="283"/>
              <w:jc w:val="left"/>
              <w:rPr/>
            </w:pPr>
            <w:r>
              <w:rPr/>
              <w:t> </w:t>
            </w:r>
          </w:p>
        </w:tc>
        <w:tc>
          <w:tcPr>
            <w:tcW w:w="64" w:type="dxa"/>
            <w:tcBorders/>
            <w:shd w:fill="FFFFFF" w:val="clear"/>
            <w:vAlign w:val="center"/>
          </w:tcPr>
          <w:p>
            <w:pPr>
              <w:pStyle w:val="TableContents"/>
              <w:bidi w:val="0"/>
              <w:spacing w:before="0" w:after="283"/>
              <w:jc w:val="left"/>
              <w:rPr/>
            </w:pPr>
            <w:r>
              <w:rPr/>
              <w:t> </w:t>
            </w:r>
          </w:p>
        </w:tc>
        <w:tc>
          <w:tcPr>
            <w:tcW w:w="64" w:type="dxa"/>
            <w:tcBorders/>
            <w:shd w:fill="FFFFFF" w:val="clear"/>
            <w:vAlign w:val="center"/>
          </w:tcPr>
          <w:p>
            <w:pPr>
              <w:pStyle w:val="TableContents"/>
              <w:bidi w:val="0"/>
              <w:spacing w:before="0" w:after="283"/>
              <w:jc w:val="left"/>
              <w:rPr/>
            </w:pPr>
            <w:r>
              <w:rPr/>
              <w:t> </w:t>
            </w:r>
          </w:p>
        </w:tc>
        <w:tc>
          <w:tcPr>
            <w:tcW w:w="133" w:type="dxa"/>
            <w:tcBorders/>
            <w:shd w:fill="FFFFFF" w:val="clear"/>
            <w:vAlign w:val="center"/>
          </w:tcPr>
          <w:p>
            <w:pPr>
              <w:pStyle w:val="TableContents"/>
              <w:bidi w:val="0"/>
              <w:spacing w:before="0" w:after="283"/>
              <w:jc w:val="left"/>
              <w:rPr/>
            </w:pPr>
            <w:r>
              <w:rPr/>
              <w:t> </w:t>
            </w:r>
          </w:p>
        </w:tc>
        <w:tc>
          <w:tcPr>
            <w:tcW w:w="807" w:type="dxa"/>
            <w:tcBorders/>
            <w:shd w:fill="FFFFFF" w:val="clear"/>
            <w:vAlign w:val="center"/>
          </w:tcPr>
          <w:p>
            <w:pPr>
              <w:pStyle w:val="TableContents"/>
              <w:bidi w:val="0"/>
              <w:spacing w:before="0" w:after="283"/>
              <w:jc w:val="left"/>
              <w:rPr/>
            </w:pPr>
            <w:r>
              <w:rPr/>
              <w:t> </w:t>
            </w:r>
          </w:p>
        </w:tc>
        <w:tc>
          <w:tcPr>
            <w:tcW w:w="85" w:type="dxa"/>
            <w:tcBorders/>
            <w:shd w:fill="FFFFFF" w:val="clear"/>
            <w:vAlign w:val="center"/>
          </w:tcPr>
          <w:p>
            <w:pPr>
              <w:pStyle w:val="TableContents"/>
              <w:bidi w:val="0"/>
              <w:spacing w:before="0" w:after="283"/>
              <w:jc w:val="left"/>
              <w:rPr/>
            </w:pPr>
            <w:r>
              <w:rPr/>
              <w:t> </w:t>
            </w:r>
          </w:p>
        </w:tc>
        <w:tc>
          <w:tcPr>
            <w:tcW w:w="64" w:type="dxa"/>
            <w:tcBorders/>
            <w:shd w:fill="FFFFFF" w:val="clear"/>
            <w:vAlign w:val="center"/>
          </w:tcPr>
          <w:p>
            <w:pPr>
              <w:pStyle w:val="TableContents"/>
              <w:bidi w:val="0"/>
              <w:spacing w:before="0" w:after="283"/>
              <w:jc w:val="left"/>
              <w:rPr/>
            </w:pPr>
            <w:r>
              <w:rPr/>
              <w:t> </w:t>
            </w:r>
          </w:p>
        </w:tc>
        <w:tc>
          <w:tcPr>
            <w:tcW w:w="121" w:type="dxa"/>
            <w:tcBorders/>
            <w:shd w:fill="FFFFFF" w:val="clear"/>
            <w:vAlign w:val="center"/>
          </w:tcPr>
          <w:p>
            <w:pPr>
              <w:pStyle w:val="TableContents"/>
              <w:bidi w:val="0"/>
              <w:spacing w:before="0" w:after="283"/>
              <w:jc w:val="left"/>
              <w:rPr/>
            </w:pPr>
            <w:r>
              <w:rPr/>
              <w:t> </w:t>
            </w:r>
          </w:p>
        </w:tc>
        <w:tc>
          <w:tcPr>
            <w:tcW w:w="588" w:type="dxa"/>
            <w:tcBorders/>
            <w:shd w:fill="FFFFFF" w:val="clear"/>
            <w:vAlign w:val="center"/>
          </w:tcPr>
          <w:p>
            <w:pPr>
              <w:pStyle w:val="TableContents"/>
              <w:bidi w:val="0"/>
              <w:spacing w:before="0" w:after="283"/>
              <w:jc w:val="left"/>
              <w:rPr/>
            </w:pPr>
            <w:r>
              <w:rPr/>
              <w:t> </w:t>
            </w:r>
          </w:p>
        </w:tc>
        <w:tc>
          <w:tcPr>
            <w:tcW w:w="245" w:type="dxa"/>
            <w:tcBorders/>
            <w:shd w:fill="FFFFFF" w:val="clear"/>
            <w:vAlign w:val="center"/>
          </w:tcPr>
          <w:p>
            <w:pPr>
              <w:pStyle w:val="TableContents"/>
              <w:bidi w:val="0"/>
              <w:spacing w:before="0" w:after="283"/>
              <w:jc w:val="left"/>
              <w:rPr/>
            </w:pPr>
            <w:r>
              <w:rPr/>
              <w:t> </w:t>
            </w:r>
          </w:p>
        </w:tc>
      </w:tr>
      <w:tr>
        <w:trPr/>
        <w:tc>
          <w:tcPr>
            <w:tcW w:w="2480" w:type="dxa"/>
            <w:tcBorders/>
            <w:shd w:fill="CCEEFF" w:val="clear"/>
            <w:vAlign w:val="center"/>
          </w:tcPr>
          <w:p>
            <w:pPr>
              <w:pStyle w:val="TableContents"/>
              <w:bidi w:val="0"/>
              <w:spacing w:before="0" w:after="0"/>
              <w:ind w:left="360" w:right="0" w:hanging="0"/>
              <w:jc w:val="left"/>
              <w:rPr>
                <w:rFonts w:ascii="Times New Roman" w:hAnsi="Times New Roman"/>
                <w:caps w:val="false"/>
                <w:smallCaps w:val="false"/>
                <w:sz w:val="20"/>
              </w:rPr>
            </w:pPr>
            <w:r>
              <w:rPr>
                <w:rFonts w:ascii="Times New Roman" w:hAnsi="Times New Roman"/>
                <w:caps w:val="false"/>
                <w:smallCaps w:val="false"/>
                <w:sz w:val="20"/>
              </w:rPr>
              <w:t>Total revenue</w:t>
            </w:r>
          </w:p>
        </w:tc>
        <w:tc>
          <w:tcPr>
            <w:tcW w:w="60" w:type="dxa"/>
            <w:tcBorders/>
            <w:shd w:fill="CCEEFF" w:val="clear"/>
            <w:vAlign w:val="center"/>
          </w:tcPr>
          <w:p>
            <w:pPr>
              <w:pStyle w:val="TableContents"/>
              <w:bidi w:val="0"/>
              <w:spacing w:before="0" w:after="283"/>
              <w:ind w:left="0" w:right="0" w:hanging="0"/>
              <w:jc w:val="left"/>
              <w:rPr/>
            </w:pPr>
            <w:r>
              <w:rPr/>
              <w:t> </w:t>
            </w:r>
          </w:p>
        </w:tc>
        <w:tc>
          <w:tcPr>
            <w:tcW w:w="239"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1133"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1,738</w:t>
            </w:r>
          </w:p>
        </w:tc>
        <w:tc>
          <w:tcPr>
            <w:tcW w:w="114" w:type="dxa"/>
            <w:tcBorders/>
            <w:shd w:fill="CCEEFF" w:val="clear"/>
            <w:vAlign w:val="center"/>
          </w:tcPr>
          <w:p>
            <w:pPr>
              <w:pStyle w:val="TableContents"/>
              <w:bidi w:val="0"/>
              <w:spacing w:before="0" w:after="283"/>
              <w:jc w:val="left"/>
              <w:rPr/>
            </w:pPr>
            <w:r>
              <w:rPr/>
              <w:t> </w:t>
            </w:r>
          </w:p>
        </w:tc>
        <w:tc>
          <w:tcPr>
            <w:tcW w:w="114" w:type="dxa"/>
            <w:tcBorders/>
            <w:shd w:fill="CCEEFF" w:val="clear"/>
            <w:vAlign w:val="center"/>
          </w:tcPr>
          <w:p>
            <w:pPr>
              <w:pStyle w:val="TableContents"/>
              <w:bidi w:val="0"/>
              <w:spacing w:before="0" w:after="283"/>
              <w:ind w:left="0" w:right="0" w:hanging="0"/>
              <w:jc w:val="left"/>
              <w:rPr/>
            </w:pPr>
            <w:r>
              <w:rPr/>
              <w:t> </w:t>
            </w:r>
          </w:p>
        </w:tc>
        <w:tc>
          <w:tcPr>
            <w:tcW w:w="239"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133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4,957</w:t>
            </w:r>
          </w:p>
        </w:tc>
        <w:tc>
          <w:tcPr>
            <w:tcW w:w="64"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ind w:left="0" w:right="0" w:hanging="0"/>
              <w:jc w:val="left"/>
              <w:rPr/>
            </w:pPr>
            <w:r>
              <w:rPr/>
              <w:t> </w:t>
            </w:r>
          </w:p>
        </w:tc>
        <w:tc>
          <w:tcPr>
            <w:tcW w:w="133"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807"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(3,219</w:t>
            </w:r>
          </w:p>
        </w:tc>
        <w:tc>
          <w:tcPr>
            <w:tcW w:w="85"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4" w:type="dxa"/>
            <w:tcBorders/>
            <w:shd w:fill="CCEEFF" w:val="clear"/>
            <w:vAlign w:val="center"/>
          </w:tcPr>
          <w:p>
            <w:pPr>
              <w:pStyle w:val="TableContents"/>
              <w:bidi w:val="0"/>
              <w:spacing w:before="0" w:after="283"/>
              <w:jc w:val="left"/>
              <w:rPr/>
            </w:pPr>
            <w:r>
              <w:rPr/>
              <w:t> </w:t>
            </w:r>
          </w:p>
        </w:tc>
        <w:tc>
          <w:tcPr>
            <w:tcW w:w="121"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588"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(65</w:t>
            </w:r>
          </w:p>
        </w:tc>
        <w:tc>
          <w:tcPr>
            <w:tcW w:w="245"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r>
        <w:trPr/>
        <w:tc>
          <w:tcPr>
            <w:tcW w:w="24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39" w:type="dxa"/>
            <w:tcBorders/>
            <w:shd w:fill="FFFFFF" w:val="clear"/>
            <w:vAlign w:val="center"/>
          </w:tcPr>
          <w:p>
            <w:pPr>
              <w:pStyle w:val="TableContents"/>
              <w:bidi w:val="0"/>
              <w:spacing w:before="0" w:after="283"/>
              <w:jc w:val="left"/>
              <w:rPr/>
            </w:pPr>
            <w:r>
              <w:rPr/>
              <w:t> </w:t>
            </w:r>
          </w:p>
        </w:tc>
        <w:tc>
          <w:tcPr>
            <w:tcW w:w="1133" w:type="dxa"/>
            <w:tcBorders/>
            <w:shd w:fill="FFFFFF" w:val="clear"/>
            <w:vAlign w:val="center"/>
          </w:tcPr>
          <w:p>
            <w:pPr>
              <w:pStyle w:val="TableContents"/>
              <w:bidi w:val="0"/>
              <w:spacing w:before="0" w:after="283"/>
              <w:jc w:val="left"/>
              <w:rPr/>
            </w:pPr>
            <w:r>
              <w:rPr/>
              <w:t> </w:t>
            </w:r>
          </w:p>
        </w:tc>
        <w:tc>
          <w:tcPr>
            <w:tcW w:w="114" w:type="dxa"/>
            <w:tcBorders/>
            <w:shd w:fill="FFFFFF" w:val="clear"/>
            <w:vAlign w:val="center"/>
          </w:tcPr>
          <w:p>
            <w:pPr>
              <w:pStyle w:val="TableContents"/>
              <w:bidi w:val="0"/>
              <w:spacing w:before="0" w:after="283"/>
              <w:jc w:val="left"/>
              <w:rPr/>
            </w:pPr>
            <w:r>
              <w:rPr/>
              <w:t> </w:t>
            </w:r>
          </w:p>
        </w:tc>
        <w:tc>
          <w:tcPr>
            <w:tcW w:w="114" w:type="dxa"/>
            <w:tcBorders/>
            <w:shd w:fill="FFFFFF" w:val="clear"/>
            <w:vAlign w:val="center"/>
          </w:tcPr>
          <w:p>
            <w:pPr>
              <w:pStyle w:val="TableContents"/>
              <w:bidi w:val="0"/>
              <w:spacing w:before="0" w:after="283"/>
              <w:jc w:val="left"/>
              <w:rPr/>
            </w:pPr>
            <w:r>
              <w:rPr/>
              <w:t> </w:t>
            </w:r>
          </w:p>
        </w:tc>
        <w:tc>
          <w:tcPr>
            <w:tcW w:w="239" w:type="dxa"/>
            <w:tcBorders/>
            <w:shd w:fill="FFFFFF" w:val="clear"/>
            <w:vAlign w:val="center"/>
          </w:tcPr>
          <w:p>
            <w:pPr>
              <w:pStyle w:val="TableContents"/>
              <w:bidi w:val="0"/>
              <w:spacing w:before="0" w:after="283"/>
              <w:jc w:val="left"/>
              <w:rPr/>
            </w:pPr>
            <w:r>
              <w:rPr/>
              <w:t> </w:t>
            </w:r>
          </w:p>
        </w:tc>
        <w:tc>
          <w:tcPr>
            <w:tcW w:w="1335" w:type="dxa"/>
            <w:tcBorders/>
            <w:shd w:fill="FFFFFF" w:val="clear"/>
            <w:vAlign w:val="center"/>
          </w:tcPr>
          <w:p>
            <w:pPr>
              <w:pStyle w:val="TableContents"/>
              <w:bidi w:val="0"/>
              <w:spacing w:before="0" w:after="283"/>
              <w:jc w:val="left"/>
              <w:rPr/>
            </w:pPr>
            <w:r>
              <w:rPr/>
              <w:t> </w:t>
            </w:r>
          </w:p>
        </w:tc>
        <w:tc>
          <w:tcPr>
            <w:tcW w:w="64" w:type="dxa"/>
            <w:tcBorders/>
            <w:shd w:fill="FFFFFF" w:val="clear"/>
            <w:vAlign w:val="center"/>
          </w:tcPr>
          <w:p>
            <w:pPr>
              <w:pStyle w:val="TableContents"/>
              <w:bidi w:val="0"/>
              <w:spacing w:before="0" w:after="283"/>
              <w:jc w:val="left"/>
              <w:rPr/>
            </w:pPr>
            <w:r>
              <w:rPr/>
              <w:t> </w:t>
            </w:r>
          </w:p>
        </w:tc>
        <w:tc>
          <w:tcPr>
            <w:tcW w:w="64" w:type="dxa"/>
            <w:tcBorders/>
            <w:shd w:fill="FFFFFF" w:val="clear"/>
            <w:vAlign w:val="center"/>
          </w:tcPr>
          <w:p>
            <w:pPr>
              <w:pStyle w:val="TableContents"/>
              <w:bidi w:val="0"/>
              <w:spacing w:before="0" w:after="283"/>
              <w:jc w:val="left"/>
              <w:rPr/>
            </w:pPr>
            <w:r>
              <w:rPr/>
              <w:t> </w:t>
            </w:r>
          </w:p>
        </w:tc>
        <w:tc>
          <w:tcPr>
            <w:tcW w:w="133" w:type="dxa"/>
            <w:tcBorders/>
            <w:shd w:fill="FFFFFF" w:val="clear"/>
            <w:vAlign w:val="center"/>
          </w:tcPr>
          <w:p>
            <w:pPr>
              <w:pStyle w:val="TableContents"/>
              <w:bidi w:val="0"/>
              <w:spacing w:before="0" w:after="283"/>
              <w:jc w:val="left"/>
              <w:rPr/>
            </w:pPr>
            <w:r>
              <w:rPr/>
              <w:t> </w:t>
            </w:r>
          </w:p>
        </w:tc>
        <w:tc>
          <w:tcPr>
            <w:tcW w:w="807" w:type="dxa"/>
            <w:tcBorders/>
            <w:shd w:fill="FFFFFF" w:val="clear"/>
            <w:vAlign w:val="center"/>
          </w:tcPr>
          <w:p>
            <w:pPr>
              <w:pStyle w:val="TableContents"/>
              <w:bidi w:val="0"/>
              <w:spacing w:before="0" w:after="283"/>
              <w:jc w:val="left"/>
              <w:rPr/>
            </w:pPr>
            <w:r>
              <w:rPr/>
              <w:t> </w:t>
            </w:r>
          </w:p>
        </w:tc>
        <w:tc>
          <w:tcPr>
            <w:tcW w:w="85" w:type="dxa"/>
            <w:tcBorders/>
            <w:shd w:fill="FFFFFF" w:val="clear"/>
            <w:vAlign w:val="center"/>
          </w:tcPr>
          <w:p>
            <w:pPr>
              <w:pStyle w:val="TableContents"/>
              <w:bidi w:val="0"/>
              <w:spacing w:before="0" w:after="283"/>
              <w:jc w:val="left"/>
              <w:rPr/>
            </w:pPr>
            <w:r>
              <w:rPr/>
              <w:t> </w:t>
            </w:r>
          </w:p>
        </w:tc>
        <w:tc>
          <w:tcPr>
            <w:tcW w:w="64" w:type="dxa"/>
            <w:tcBorders/>
            <w:shd w:fill="FFFFFF" w:val="clear"/>
            <w:vAlign w:val="center"/>
          </w:tcPr>
          <w:p>
            <w:pPr>
              <w:pStyle w:val="TableContents"/>
              <w:bidi w:val="0"/>
              <w:spacing w:before="0" w:after="283"/>
              <w:jc w:val="left"/>
              <w:rPr/>
            </w:pPr>
            <w:r>
              <w:rPr/>
              <w:t> </w:t>
            </w:r>
          </w:p>
        </w:tc>
        <w:tc>
          <w:tcPr>
            <w:tcW w:w="121" w:type="dxa"/>
            <w:tcBorders/>
            <w:shd w:fill="FFFFFF" w:val="clear"/>
            <w:vAlign w:val="center"/>
          </w:tcPr>
          <w:p>
            <w:pPr>
              <w:pStyle w:val="TableContents"/>
              <w:bidi w:val="0"/>
              <w:spacing w:before="0" w:after="283"/>
              <w:jc w:val="left"/>
              <w:rPr/>
            </w:pPr>
            <w:r>
              <w:rPr/>
              <w:t> </w:t>
            </w:r>
          </w:p>
        </w:tc>
        <w:tc>
          <w:tcPr>
            <w:tcW w:w="588" w:type="dxa"/>
            <w:tcBorders/>
            <w:shd w:fill="FFFFFF" w:val="clear"/>
            <w:vAlign w:val="center"/>
          </w:tcPr>
          <w:p>
            <w:pPr>
              <w:pStyle w:val="TableContents"/>
              <w:bidi w:val="0"/>
              <w:spacing w:before="0" w:after="283"/>
              <w:jc w:val="left"/>
              <w:rPr/>
            </w:pPr>
            <w:r>
              <w:rPr/>
              <w:t> </w:t>
            </w:r>
          </w:p>
        </w:tc>
        <w:tc>
          <w:tcPr>
            <w:tcW w:w="245" w:type="dxa"/>
            <w:tcBorders/>
            <w:shd w:fill="FFFFFF" w:val="clear"/>
            <w:vAlign w:val="center"/>
          </w:tcPr>
          <w:p>
            <w:pPr>
              <w:pStyle w:val="TableContents"/>
              <w:bidi w:val="0"/>
              <w:spacing w:before="0" w:after="283"/>
              <w:jc w:val="left"/>
              <w:rPr/>
            </w:pPr>
            <w:r>
              <w:rPr/>
              <w:t> </w:t>
            </w:r>
          </w:p>
        </w:tc>
      </w:tr>
      <w:tr>
        <w:trPr/>
        <w:tc>
          <w:tcPr>
            <w:tcW w:w="2480" w:type="dxa"/>
            <w:tcBorders/>
            <w:shd w:fill="CCEEFF" w:val="clear"/>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Production quantities:</w:t>
            </w:r>
          </w:p>
        </w:tc>
        <w:tc>
          <w:tcPr>
            <w:tcW w:w="60" w:type="dxa"/>
            <w:tcBorders/>
            <w:shd w:fill="CCEEFF" w:val="clear"/>
            <w:vAlign w:val="center"/>
          </w:tcPr>
          <w:p>
            <w:pPr>
              <w:pStyle w:val="TableContents"/>
              <w:bidi w:val="0"/>
              <w:spacing w:before="0" w:after="283"/>
              <w:jc w:val="left"/>
              <w:rPr/>
            </w:pPr>
            <w:r>
              <w:rPr/>
              <w:t> </w:t>
            </w:r>
          </w:p>
        </w:tc>
        <w:tc>
          <w:tcPr>
            <w:tcW w:w="239" w:type="dxa"/>
            <w:tcBorders/>
            <w:shd w:fill="CCEEFF" w:val="clear"/>
            <w:vAlign w:val="center"/>
          </w:tcPr>
          <w:p>
            <w:pPr>
              <w:pStyle w:val="TableContents"/>
              <w:bidi w:val="0"/>
              <w:spacing w:before="0" w:after="283"/>
              <w:jc w:val="left"/>
              <w:rPr/>
            </w:pPr>
            <w:r>
              <w:rPr/>
              <w:t> </w:t>
            </w:r>
          </w:p>
        </w:tc>
        <w:tc>
          <w:tcPr>
            <w:tcW w:w="1133" w:type="dxa"/>
            <w:tcBorders/>
            <w:shd w:fill="CCEEFF" w:val="clear"/>
            <w:vAlign w:val="center"/>
          </w:tcPr>
          <w:p>
            <w:pPr>
              <w:pStyle w:val="TableContents"/>
              <w:bidi w:val="0"/>
              <w:spacing w:before="0" w:after="283"/>
              <w:jc w:val="left"/>
              <w:rPr/>
            </w:pPr>
            <w:r>
              <w:rPr/>
              <w:t> </w:t>
            </w:r>
          </w:p>
        </w:tc>
        <w:tc>
          <w:tcPr>
            <w:tcW w:w="114" w:type="dxa"/>
            <w:tcBorders/>
            <w:shd w:fill="CCEEFF" w:val="clear"/>
            <w:vAlign w:val="center"/>
          </w:tcPr>
          <w:p>
            <w:pPr>
              <w:pStyle w:val="TableContents"/>
              <w:bidi w:val="0"/>
              <w:spacing w:before="0" w:after="283"/>
              <w:jc w:val="left"/>
              <w:rPr/>
            </w:pPr>
            <w:r>
              <w:rPr/>
              <w:t> </w:t>
            </w:r>
          </w:p>
        </w:tc>
        <w:tc>
          <w:tcPr>
            <w:tcW w:w="114" w:type="dxa"/>
            <w:tcBorders/>
            <w:shd w:fill="CCEEFF" w:val="clear"/>
            <w:vAlign w:val="center"/>
          </w:tcPr>
          <w:p>
            <w:pPr>
              <w:pStyle w:val="TableContents"/>
              <w:bidi w:val="0"/>
              <w:spacing w:before="0" w:after="283"/>
              <w:jc w:val="left"/>
              <w:rPr/>
            </w:pPr>
            <w:r>
              <w:rPr/>
              <w:t> </w:t>
            </w:r>
          </w:p>
        </w:tc>
        <w:tc>
          <w:tcPr>
            <w:tcW w:w="239" w:type="dxa"/>
            <w:tcBorders/>
            <w:shd w:fill="CCEEFF" w:val="clear"/>
            <w:vAlign w:val="center"/>
          </w:tcPr>
          <w:p>
            <w:pPr>
              <w:pStyle w:val="TableContents"/>
              <w:bidi w:val="0"/>
              <w:spacing w:before="0" w:after="283"/>
              <w:jc w:val="left"/>
              <w:rPr/>
            </w:pPr>
            <w:r>
              <w:rPr/>
              <w:t> </w:t>
            </w:r>
          </w:p>
        </w:tc>
        <w:tc>
          <w:tcPr>
            <w:tcW w:w="1335"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jc w:val="left"/>
              <w:rPr/>
            </w:pPr>
            <w:r>
              <w:rPr/>
              <w:t> </w:t>
            </w:r>
          </w:p>
        </w:tc>
        <w:tc>
          <w:tcPr>
            <w:tcW w:w="133" w:type="dxa"/>
            <w:tcBorders/>
            <w:shd w:fill="CCEEFF" w:val="clear"/>
            <w:vAlign w:val="center"/>
          </w:tcPr>
          <w:p>
            <w:pPr>
              <w:pStyle w:val="TableContents"/>
              <w:bidi w:val="0"/>
              <w:spacing w:before="0" w:after="283"/>
              <w:jc w:val="left"/>
              <w:rPr/>
            </w:pPr>
            <w:r>
              <w:rPr/>
              <w:t> </w:t>
            </w:r>
          </w:p>
        </w:tc>
        <w:tc>
          <w:tcPr>
            <w:tcW w:w="807" w:type="dxa"/>
            <w:tcBorders/>
            <w:shd w:fill="CCEEFF" w:val="clear"/>
            <w:vAlign w:val="center"/>
          </w:tcPr>
          <w:p>
            <w:pPr>
              <w:pStyle w:val="TableContents"/>
              <w:bidi w:val="0"/>
              <w:spacing w:before="0" w:after="283"/>
              <w:jc w:val="left"/>
              <w:rPr/>
            </w:pPr>
            <w:r>
              <w:rPr/>
              <w:t> </w:t>
            </w:r>
          </w:p>
        </w:tc>
        <w:tc>
          <w:tcPr>
            <w:tcW w:w="85"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jc w:val="left"/>
              <w:rPr/>
            </w:pPr>
            <w:r>
              <w:rPr/>
              <w:t> </w:t>
            </w:r>
          </w:p>
        </w:tc>
        <w:tc>
          <w:tcPr>
            <w:tcW w:w="121" w:type="dxa"/>
            <w:tcBorders/>
            <w:shd w:fill="CCEEFF" w:val="clear"/>
            <w:vAlign w:val="center"/>
          </w:tcPr>
          <w:p>
            <w:pPr>
              <w:pStyle w:val="TableContents"/>
              <w:bidi w:val="0"/>
              <w:spacing w:before="0" w:after="283"/>
              <w:jc w:val="left"/>
              <w:rPr/>
            </w:pPr>
            <w:r>
              <w:rPr/>
              <w:t> </w:t>
            </w:r>
          </w:p>
        </w:tc>
        <w:tc>
          <w:tcPr>
            <w:tcW w:w="588" w:type="dxa"/>
            <w:tcBorders/>
            <w:shd w:fill="CCEEFF" w:val="clear"/>
            <w:vAlign w:val="center"/>
          </w:tcPr>
          <w:p>
            <w:pPr>
              <w:pStyle w:val="TableContents"/>
              <w:bidi w:val="0"/>
              <w:spacing w:before="0" w:after="283"/>
              <w:jc w:val="left"/>
              <w:rPr/>
            </w:pPr>
            <w:r>
              <w:rPr/>
              <w:t> </w:t>
            </w:r>
          </w:p>
        </w:tc>
        <w:tc>
          <w:tcPr>
            <w:tcW w:w="245" w:type="dxa"/>
            <w:tcBorders/>
            <w:shd w:fill="CCEEFF" w:val="clear"/>
            <w:vAlign w:val="center"/>
          </w:tcPr>
          <w:p>
            <w:pPr>
              <w:pStyle w:val="TableContents"/>
              <w:bidi w:val="0"/>
              <w:spacing w:before="0" w:after="283"/>
              <w:jc w:val="left"/>
              <w:rPr/>
            </w:pPr>
            <w:r>
              <w:rPr/>
              <w:t> </w:t>
            </w:r>
          </w:p>
        </w:tc>
      </w:tr>
      <w:tr>
        <w:trPr/>
        <w:tc>
          <w:tcPr>
            <w:tcW w:w="2480" w:type="dxa"/>
            <w:tcBorders/>
            <w:shd w:fill="FFFF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Oil (Bbls)</w:t>
            </w:r>
          </w:p>
        </w:tc>
        <w:tc>
          <w:tcPr>
            <w:tcW w:w="60" w:type="dxa"/>
            <w:tcBorders/>
            <w:shd w:fill="FFFFFF" w:val="clear"/>
            <w:vAlign w:val="center"/>
          </w:tcPr>
          <w:p>
            <w:pPr>
              <w:pStyle w:val="TableContents"/>
              <w:bidi w:val="0"/>
              <w:spacing w:before="0" w:after="283"/>
              <w:jc w:val="left"/>
              <w:rPr/>
            </w:pPr>
            <w:r>
              <w:rPr/>
              <w:t> </w:t>
            </w:r>
          </w:p>
        </w:tc>
        <w:tc>
          <w:tcPr>
            <w:tcW w:w="239" w:type="dxa"/>
            <w:tcBorders/>
            <w:shd w:fill="FFFFFF" w:val="clear"/>
            <w:vAlign w:val="center"/>
          </w:tcPr>
          <w:p>
            <w:pPr>
              <w:pStyle w:val="TableContents"/>
              <w:bidi w:val="0"/>
              <w:spacing w:before="0" w:after="283"/>
              <w:ind w:left="0" w:right="0" w:hanging="0"/>
              <w:jc w:val="left"/>
              <w:rPr/>
            </w:pPr>
            <w:r>
              <w:rPr/>
              <w:t> </w:t>
            </w:r>
          </w:p>
        </w:tc>
        <w:tc>
          <w:tcPr>
            <w:tcW w:w="1133"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26,399</w:t>
            </w:r>
          </w:p>
        </w:tc>
        <w:tc>
          <w:tcPr>
            <w:tcW w:w="114" w:type="dxa"/>
            <w:tcBorders/>
            <w:shd w:fill="FFFFFF" w:val="clear"/>
            <w:vAlign w:val="center"/>
          </w:tcPr>
          <w:p>
            <w:pPr>
              <w:pStyle w:val="TableContents"/>
              <w:bidi w:val="0"/>
              <w:spacing w:before="0" w:after="283"/>
              <w:jc w:val="left"/>
              <w:rPr/>
            </w:pPr>
            <w:r>
              <w:rPr/>
              <w:t> </w:t>
            </w:r>
          </w:p>
        </w:tc>
        <w:tc>
          <w:tcPr>
            <w:tcW w:w="114" w:type="dxa"/>
            <w:tcBorders/>
            <w:shd w:fill="FFFFFF" w:val="clear"/>
            <w:vAlign w:val="center"/>
          </w:tcPr>
          <w:p>
            <w:pPr>
              <w:pStyle w:val="TableContents"/>
              <w:bidi w:val="0"/>
              <w:spacing w:before="0" w:after="283"/>
              <w:jc w:val="left"/>
              <w:rPr/>
            </w:pPr>
            <w:r>
              <w:rPr/>
              <w:t> </w:t>
            </w:r>
          </w:p>
        </w:tc>
        <w:tc>
          <w:tcPr>
            <w:tcW w:w="239" w:type="dxa"/>
            <w:tcBorders/>
            <w:shd w:fill="FFFFFF" w:val="clear"/>
            <w:vAlign w:val="center"/>
          </w:tcPr>
          <w:p>
            <w:pPr>
              <w:pStyle w:val="TableContents"/>
              <w:bidi w:val="0"/>
              <w:spacing w:before="0" w:after="283"/>
              <w:ind w:left="0" w:right="0" w:hanging="0"/>
              <w:jc w:val="left"/>
              <w:rPr/>
            </w:pPr>
            <w:r>
              <w:rPr/>
              <w:t> </w:t>
            </w:r>
          </w:p>
        </w:tc>
        <w:tc>
          <w:tcPr>
            <w:tcW w:w="1335"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61,185</w:t>
            </w:r>
          </w:p>
        </w:tc>
        <w:tc>
          <w:tcPr>
            <w:tcW w:w="64" w:type="dxa"/>
            <w:tcBorders/>
            <w:shd w:fill="FFFFFF" w:val="clear"/>
            <w:vAlign w:val="center"/>
          </w:tcPr>
          <w:p>
            <w:pPr>
              <w:pStyle w:val="TableContents"/>
              <w:bidi w:val="0"/>
              <w:spacing w:before="0" w:after="283"/>
              <w:jc w:val="left"/>
              <w:rPr/>
            </w:pPr>
            <w:r>
              <w:rPr/>
              <w:t> </w:t>
            </w:r>
          </w:p>
        </w:tc>
        <w:tc>
          <w:tcPr>
            <w:tcW w:w="64" w:type="dxa"/>
            <w:tcBorders/>
            <w:shd w:fill="FFFFFF" w:val="clear"/>
            <w:vAlign w:val="center"/>
          </w:tcPr>
          <w:p>
            <w:pPr>
              <w:pStyle w:val="TableContents"/>
              <w:bidi w:val="0"/>
              <w:spacing w:before="0" w:after="283"/>
              <w:jc w:val="left"/>
              <w:rPr/>
            </w:pPr>
            <w:r>
              <w:rPr/>
              <w:t> </w:t>
            </w:r>
          </w:p>
        </w:tc>
        <w:tc>
          <w:tcPr>
            <w:tcW w:w="133" w:type="dxa"/>
            <w:tcBorders/>
            <w:shd w:fill="FFFFFF" w:val="clear"/>
            <w:vAlign w:val="center"/>
          </w:tcPr>
          <w:p>
            <w:pPr>
              <w:pStyle w:val="TableContents"/>
              <w:bidi w:val="0"/>
              <w:spacing w:before="0" w:after="283"/>
              <w:ind w:left="0" w:right="0" w:hanging="0"/>
              <w:jc w:val="left"/>
              <w:rPr/>
            </w:pPr>
            <w:r>
              <w:rPr/>
              <w:t> </w:t>
            </w:r>
          </w:p>
        </w:tc>
        <w:tc>
          <w:tcPr>
            <w:tcW w:w="807"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(34,786</w:t>
            </w:r>
          </w:p>
        </w:tc>
        <w:tc>
          <w:tcPr>
            <w:tcW w:w="85"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4" w:type="dxa"/>
            <w:tcBorders/>
            <w:shd w:fill="FFFFFF" w:val="clear"/>
            <w:vAlign w:val="center"/>
          </w:tcPr>
          <w:p>
            <w:pPr>
              <w:pStyle w:val="TableContents"/>
              <w:bidi w:val="0"/>
              <w:spacing w:before="0" w:after="283"/>
              <w:jc w:val="left"/>
              <w:rPr/>
            </w:pPr>
            <w:r>
              <w:rPr/>
              <w:t> </w:t>
            </w:r>
          </w:p>
        </w:tc>
        <w:tc>
          <w:tcPr>
            <w:tcW w:w="121" w:type="dxa"/>
            <w:tcBorders/>
            <w:shd w:fill="FFFFFF" w:val="clear"/>
            <w:vAlign w:val="center"/>
          </w:tcPr>
          <w:p>
            <w:pPr>
              <w:pStyle w:val="TableContents"/>
              <w:bidi w:val="0"/>
              <w:spacing w:before="0" w:after="283"/>
              <w:ind w:left="0" w:right="0" w:hanging="0"/>
              <w:jc w:val="left"/>
              <w:rPr/>
            </w:pPr>
            <w:r>
              <w:rPr/>
              <w:t> </w:t>
            </w:r>
          </w:p>
        </w:tc>
        <w:tc>
          <w:tcPr>
            <w:tcW w:w="588"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(57</w:t>
            </w:r>
          </w:p>
        </w:tc>
        <w:tc>
          <w:tcPr>
            <w:tcW w:w="245"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r>
        <w:trPr/>
        <w:tc>
          <w:tcPr>
            <w:tcW w:w="2480" w:type="dxa"/>
            <w:tcBorders/>
            <w:shd w:fill="CCEE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Natural gas and liquids (Mcfe)</w:t>
            </w:r>
          </w:p>
        </w:tc>
        <w:tc>
          <w:tcPr>
            <w:tcW w:w="60" w:type="dxa"/>
            <w:tcBorders/>
            <w:shd w:fill="CCEEFF" w:val="clear"/>
            <w:vAlign w:val="center"/>
          </w:tcPr>
          <w:p>
            <w:pPr>
              <w:pStyle w:val="TableContents"/>
              <w:bidi w:val="0"/>
              <w:spacing w:before="0" w:after="283"/>
              <w:jc w:val="left"/>
              <w:rPr/>
            </w:pPr>
            <w:r>
              <w:rPr/>
              <w:t> </w:t>
            </w:r>
          </w:p>
        </w:tc>
        <w:tc>
          <w:tcPr>
            <w:tcW w:w="239" w:type="dxa"/>
            <w:tcBorders/>
            <w:shd w:fill="CCEEFF" w:val="clear"/>
            <w:vAlign w:val="center"/>
          </w:tcPr>
          <w:p>
            <w:pPr>
              <w:pStyle w:val="TableContents"/>
              <w:bidi w:val="0"/>
              <w:spacing w:before="0" w:after="283"/>
              <w:ind w:left="0" w:right="0" w:hanging="0"/>
              <w:jc w:val="left"/>
              <w:rPr/>
            </w:pPr>
            <w:r>
              <w:rPr/>
              <w:t> </w:t>
            </w:r>
          </w:p>
        </w:tc>
        <w:tc>
          <w:tcPr>
            <w:tcW w:w="1133"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53,562</w:t>
            </w:r>
          </w:p>
        </w:tc>
        <w:tc>
          <w:tcPr>
            <w:tcW w:w="114" w:type="dxa"/>
            <w:tcBorders/>
            <w:shd w:fill="CCEEFF" w:val="clear"/>
            <w:vAlign w:val="center"/>
          </w:tcPr>
          <w:p>
            <w:pPr>
              <w:pStyle w:val="TableContents"/>
              <w:bidi w:val="0"/>
              <w:spacing w:before="0" w:after="283"/>
              <w:jc w:val="left"/>
              <w:rPr/>
            </w:pPr>
            <w:r>
              <w:rPr/>
              <w:t> </w:t>
            </w:r>
          </w:p>
        </w:tc>
        <w:tc>
          <w:tcPr>
            <w:tcW w:w="114" w:type="dxa"/>
            <w:tcBorders/>
            <w:shd w:fill="CCEEFF" w:val="clear"/>
            <w:vAlign w:val="center"/>
          </w:tcPr>
          <w:p>
            <w:pPr>
              <w:pStyle w:val="TableContents"/>
              <w:bidi w:val="0"/>
              <w:spacing w:before="0" w:after="283"/>
              <w:jc w:val="left"/>
              <w:rPr/>
            </w:pPr>
            <w:r>
              <w:rPr/>
              <w:t> </w:t>
            </w:r>
          </w:p>
        </w:tc>
        <w:tc>
          <w:tcPr>
            <w:tcW w:w="239" w:type="dxa"/>
            <w:tcBorders/>
            <w:shd w:fill="CCEEFF" w:val="clear"/>
            <w:vAlign w:val="center"/>
          </w:tcPr>
          <w:p>
            <w:pPr>
              <w:pStyle w:val="TableContents"/>
              <w:bidi w:val="0"/>
              <w:spacing w:before="0" w:after="283"/>
              <w:ind w:left="0" w:right="0" w:hanging="0"/>
              <w:jc w:val="left"/>
              <w:rPr/>
            </w:pPr>
            <w:r>
              <w:rPr/>
              <w:t> </w:t>
            </w:r>
          </w:p>
        </w:tc>
        <w:tc>
          <w:tcPr>
            <w:tcW w:w="133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267,089</w:t>
            </w:r>
          </w:p>
        </w:tc>
        <w:tc>
          <w:tcPr>
            <w:tcW w:w="64"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jc w:val="left"/>
              <w:rPr/>
            </w:pPr>
            <w:r>
              <w:rPr/>
              <w:t> </w:t>
            </w:r>
          </w:p>
        </w:tc>
        <w:tc>
          <w:tcPr>
            <w:tcW w:w="133" w:type="dxa"/>
            <w:tcBorders/>
            <w:shd w:fill="CCEEFF" w:val="clear"/>
            <w:vAlign w:val="center"/>
          </w:tcPr>
          <w:p>
            <w:pPr>
              <w:pStyle w:val="TableContents"/>
              <w:bidi w:val="0"/>
              <w:spacing w:before="0" w:after="283"/>
              <w:ind w:left="0" w:right="0" w:hanging="0"/>
              <w:jc w:val="left"/>
              <w:rPr/>
            </w:pPr>
            <w:r>
              <w:rPr/>
              <w:t> </w:t>
            </w:r>
          </w:p>
        </w:tc>
        <w:tc>
          <w:tcPr>
            <w:tcW w:w="807"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(213,527</w:t>
            </w:r>
          </w:p>
        </w:tc>
        <w:tc>
          <w:tcPr>
            <w:tcW w:w="85"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4" w:type="dxa"/>
            <w:tcBorders/>
            <w:shd w:fill="CCEEFF" w:val="clear"/>
            <w:vAlign w:val="center"/>
          </w:tcPr>
          <w:p>
            <w:pPr>
              <w:pStyle w:val="TableContents"/>
              <w:bidi w:val="0"/>
              <w:spacing w:before="0" w:after="283"/>
              <w:jc w:val="left"/>
              <w:rPr/>
            </w:pPr>
            <w:r>
              <w:rPr/>
              <w:t> </w:t>
            </w:r>
          </w:p>
        </w:tc>
        <w:tc>
          <w:tcPr>
            <w:tcW w:w="121" w:type="dxa"/>
            <w:tcBorders/>
            <w:shd w:fill="CCEEFF" w:val="clear"/>
            <w:vAlign w:val="center"/>
          </w:tcPr>
          <w:p>
            <w:pPr>
              <w:pStyle w:val="TableContents"/>
              <w:bidi w:val="0"/>
              <w:spacing w:before="0" w:after="283"/>
              <w:ind w:left="0" w:right="0" w:hanging="0"/>
              <w:jc w:val="left"/>
              <w:rPr/>
            </w:pPr>
            <w:r>
              <w:rPr/>
              <w:t> </w:t>
            </w:r>
          </w:p>
        </w:tc>
        <w:tc>
          <w:tcPr>
            <w:tcW w:w="588"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(80</w:t>
            </w:r>
          </w:p>
        </w:tc>
        <w:tc>
          <w:tcPr>
            <w:tcW w:w="245"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r>
        <w:trPr/>
        <w:tc>
          <w:tcPr>
            <w:tcW w:w="2480" w:type="dxa"/>
            <w:tcBorders/>
            <w:shd w:fill="FFFF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BOE</w:t>
            </w:r>
          </w:p>
        </w:tc>
        <w:tc>
          <w:tcPr>
            <w:tcW w:w="60" w:type="dxa"/>
            <w:tcBorders/>
            <w:shd w:fill="FFFFFF" w:val="clear"/>
            <w:vAlign w:val="center"/>
          </w:tcPr>
          <w:p>
            <w:pPr>
              <w:pStyle w:val="TableContents"/>
              <w:bidi w:val="0"/>
              <w:spacing w:before="0" w:after="283"/>
              <w:jc w:val="left"/>
              <w:rPr/>
            </w:pPr>
            <w:r>
              <w:rPr/>
              <w:t> </w:t>
            </w:r>
          </w:p>
        </w:tc>
        <w:tc>
          <w:tcPr>
            <w:tcW w:w="239" w:type="dxa"/>
            <w:tcBorders/>
            <w:shd w:fill="FFFFFF" w:val="clear"/>
            <w:vAlign w:val="center"/>
          </w:tcPr>
          <w:p>
            <w:pPr>
              <w:pStyle w:val="TableContents"/>
              <w:bidi w:val="0"/>
              <w:spacing w:before="0" w:after="283"/>
              <w:ind w:left="0" w:right="0" w:hanging="0"/>
              <w:jc w:val="left"/>
              <w:rPr/>
            </w:pPr>
            <w:r>
              <w:rPr/>
              <w:t> </w:t>
            </w:r>
          </w:p>
        </w:tc>
        <w:tc>
          <w:tcPr>
            <w:tcW w:w="1133"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35,326</w:t>
            </w:r>
          </w:p>
        </w:tc>
        <w:tc>
          <w:tcPr>
            <w:tcW w:w="114" w:type="dxa"/>
            <w:tcBorders/>
            <w:shd w:fill="FFFFFF" w:val="clear"/>
            <w:vAlign w:val="center"/>
          </w:tcPr>
          <w:p>
            <w:pPr>
              <w:pStyle w:val="TableContents"/>
              <w:bidi w:val="0"/>
              <w:spacing w:before="0" w:after="283"/>
              <w:jc w:val="left"/>
              <w:rPr/>
            </w:pPr>
            <w:r>
              <w:rPr/>
              <w:t> </w:t>
            </w:r>
          </w:p>
        </w:tc>
        <w:tc>
          <w:tcPr>
            <w:tcW w:w="114" w:type="dxa"/>
            <w:tcBorders/>
            <w:shd w:fill="FFFFFF" w:val="clear"/>
            <w:vAlign w:val="center"/>
          </w:tcPr>
          <w:p>
            <w:pPr>
              <w:pStyle w:val="TableContents"/>
              <w:bidi w:val="0"/>
              <w:spacing w:before="0" w:after="283"/>
              <w:jc w:val="left"/>
              <w:rPr/>
            </w:pPr>
            <w:r>
              <w:rPr/>
              <w:t> </w:t>
            </w:r>
          </w:p>
        </w:tc>
        <w:tc>
          <w:tcPr>
            <w:tcW w:w="239" w:type="dxa"/>
            <w:tcBorders/>
            <w:shd w:fill="FFFFFF" w:val="clear"/>
            <w:vAlign w:val="center"/>
          </w:tcPr>
          <w:p>
            <w:pPr>
              <w:pStyle w:val="TableContents"/>
              <w:bidi w:val="0"/>
              <w:spacing w:before="0" w:after="283"/>
              <w:ind w:left="0" w:right="0" w:hanging="0"/>
              <w:jc w:val="left"/>
              <w:rPr/>
            </w:pPr>
            <w:r>
              <w:rPr/>
              <w:t> </w:t>
            </w:r>
          </w:p>
        </w:tc>
        <w:tc>
          <w:tcPr>
            <w:tcW w:w="1335"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105,699</w:t>
            </w:r>
          </w:p>
        </w:tc>
        <w:tc>
          <w:tcPr>
            <w:tcW w:w="64" w:type="dxa"/>
            <w:tcBorders/>
            <w:shd w:fill="FFFFFF" w:val="clear"/>
            <w:vAlign w:val="center"/>
          </w:tcPr>
          <w:p>
            <w:pPr>
              <w:pStyle w:val="TableContents"/>
              <w:bidi w:val="0"/>
              <w:spacing w:before="0" w:after="283"/>
              <w:jc w:val="left"/>
              <w:rPr/>
            </w:pPr>
            <w:r>
              <w:rPr/>
              <w:t> </w:t>
            </w:r>
          </w:p>
        </w:tc>
        <w:tc>
          <w:tcPr>
            <w:tcW w:w="64" w:type="dxa"/>
            <w:tcBorders/>
            <w:shd w:fill="FFFFFF" w:val="clear"/>
            <w:vAlign w:val="center"/>
          </w:tcPr>
          <w:p>
            <w:pPr>
              <w:pStyle w:val="TableContents"/>
              <w:bidi w:val="0"/>
              <w:spacing w:before="0" w:after="283"/>
              <w:jc w:val="left"/>
              <w:rPr/>
            </w:pPr>
            <w:r>
              <w:rPr/>
              <w:t> </w:t>
            </w:r>
          </w:p>
        </w:tc>
        <w:tc>
          <w:tcPr>
            <w:tcW w:w="133" w:type="dxa"/>
            <w:tcBorders/>
            <w:shd w:fill="FFFFFF" w:val="clear"/>
            <w:vAlign w:val="center"/>
          </w:tcPr>
          <w:p>
            <w:pPr>
              <w:pStyle w:val="TableContents"/>
              <w:bidi w:val="0"/>
              <w:spacing w:before="0" w:after="283"/>
              <w:ind w:left="0" w:right="0" w:hanging="0"/>
              <w:jc w:val="left"/>
              <w:rPr/>
            </w:pPr>
            <w:r>
              <w:rPr/>
              <w:t> </w:t>
            </w:r>
          </w:p>
        </w:tc>
        <w:tc>
          <w:tcPr>
            <w:tcW w:w="807"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(70,373</w:t>
            </w:r>
          </w:p>
        </w:tc>
        <w:tc>
          <w:tcPr>
            <w:tcW w:w="85"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4" w:type="dxa"/>
            <w:tcBorders/>
            <w:shd w:fill="FFFFFF" w:val="clear"/>
            <w:vAlign w:val="center"/>
          </w:tcPr>
          <w:p>
            <w:pPr>
              <w:pStyle w:val="TableContents"/>
              <w:bidi w:val="0"/>
              <w:spacing w:before="0" w:after="283"/>
              <w:jc w:val="left"/>
              <w:rPr/>
            </w:pPr>
            <w:r>
              <w:rPr/>
              <w:t> </w:t>
            </w:r>
          </w:p>
        </w:tc>
        <w:tc>
          <w:tcPr>
            <w:tcW w:w="121" w:type="dxa"/>
            <w:tcBorders/>
            <w:shd w:fill="FFFFFF" w:val="clear"/>
            <w:vAlign w:val="center"/>
          </w:tcPr>
          <w:p>
            <w:pPr>
              <w:pStyle w:val="TableContents"/>
              <w:bidi w:val="0"/>
              <w:spacing w:before="0" w:after="283"/>
              <w:ind w:left="0" w:right="0" w:hanging="0"/>
              <w:jc w:val="left"/>
              <w:rPr/>
            </w:pPr>
            <w:r>
              <w:rPr/>
              <w:t> </w:t>
            </w:r>
          </w:p>
        </w:tc>
        <w:tc>
          <w:tcPr>
            <w:tcW w:w="588"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(67</w:t>
            </w:r>
          </w:p>
        </w:tc>
        <w:tc>
          <w:tcPr>
            <w:tcW w:w="245"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r>
        <w:trPr/>
        <w:tc>
          <w:tcPr>
            <w:tcW w:w="2480" w:type="dxa"/>
            <w:tcBorders/>
            <w:shd w:fill="CCEE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BOE/Day</w:t>
            </w:r>
          </w:p>
        </w:tc>
        <w:tc>
          <w:tcPr>
            <w:tcW w:w="60" w:type="dxa"/>
            <w:tcBorders/>
            <w:shd w:fill="CCEEFF" w:val="clear"/>
            <w:vAlign w:val="center"/>
          </w:tcPr>
          <w:p>
            <w:pPr>
              <w:pStyle w:val="TableContents"/>
              <w:bidi w:val="0"/>
              <w:spacing w:before="0" w:after="283"/>
              <w:jc w:val="left"/>
              <w:rPr/>
            </w:pPr>
            <w:r>
              <w:rPr/>
              <w:t> </w:t>
            </w:r>
          </w:p>
        </w:tc>
        <w:tc>
          <w:tcPr>
            <w:tcW w:w="239" w:type="dxa"/>
            <w:tcBorders/>
            <w:shd w:fill="CCEEFF" w:val="clear"/>
            <w:vAlign w:val="center"/>
          </w:tcPr>
          <w:p>
            <w:pPr>
              <w:pStyle w:val="TableContents"/>
              <w:bidi w:val="0"/>
              <w:spacing w:before="0" w:after="283"/>
              <w:ind w:left="0" w:right="0" w:hanging="0"/>
              <w:jc w:val="left"/>
              <w:rPr/>
            </w:pPr>
            <w:r>
              <w:rPr/>
              <w:t> </w:t>
            </w:r>
          </w:p>
        </w:tc>
        <w:tc>
          <w:tcPr>
            <w:tcW w:w="1133"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384</w:t>
            </w:r>
          </w:p>
        </w:tc>
        <w:tc>
          <w:tcPr>
            <w:tcW w:w="114" w:type="dxa"/>
            <w:tcBorders/>
            <w:shd w:fill="CCEEFF" w:val="clear"/>
            <w:vAlign w:val="center"/>
          </w:tcPr>
          <w:p>
            <w:pPr>
              <w:pStyle w:val="TableContents"/>
              <w:bidi w:val="0"/>
              <w:spacing w:before="0" w:after="283"/>
              <w:jc w:val="left"/>
              <w:rPr/>
            </w:pPr>
            <w:r>
              <w:rPr/>
              <w:t> </w:t>
            </w:r>
          </w:p>
        </w:tc>
        <w:tc>
          <w:tcPr>
            <w:tcW w:w="114" w:type="dxa"/>
            <w:tcBorders/>
            <w:shd w:fill="CCEEFF" w:val="clear"/>
            <w:vAlign w:val="center"/>
          </w:tcPr>
          <w:p>
            <w:pPr>
              <w:pStyle w:val="TableContents"/>
              <w:bidi w:val="0"/>
              <w:spacing w:before="0" w:after="283"/>
              <w:jc w:val="left"/>
              <w:rPr/>
            </w:pPr>
            <w:r>
              <w:rPr/>
              <w:t> </w:t>
            </w:r>
          </w:p>
        </w:tc>
        <w:tc>
          <w:tcPr>
            <w:tcW w:w="239" w:type="dxa"/>
            <w:tcBorders/>
            <w:shd w:fill="CCEEFF" w:val="clear"/>
            <w:vAlign w:val="center"/>
          </w:tcPr>
          <w:p>
            <w:pPr>
              <w:pStyle w:val="TableContents"/>
              <w:bidi w:val="0"/>
              <w:spacing w:before="0" w:after="283"/>
              <w:ind w:left="0" w:right="0" w:hanging="0"/>
              <w:jc w:val="left"/>
              <w:rPr/>
            </w:pPr>
            <w:r>
              <w:rPr/>
              <w:t> </w:t>
            </w:r>
          </w:p>
        </w:tc>
        <w:tc>
          <w:tcPr>
            <w:tcW w:w="133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1,149</w:t>
            </w:r>
          </w:p>
        </w:tc>
        <w:tc>
          <w:tcPr>
            <w:tcW w:w="64"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jc w:val="left"/>
              <w:rPr/>
            </w:pPr>
            <w:r>
              <w:rPr/>
              <w:t> </w:t>
            </w:r>
          </w:p>
        </w:tc>
        <w:tc>
          <w:tcPr>
            <w:tcW w:w="133" w:type="dxa"/>
            <w:tcBorders/>
            <w:shd w:fill="CCEEFF" w:val="clear"/>
            <w:vAlign w:val="center"/>
          </w:tcPr>
          <w:p>
            <w:pPr>
              <w:pStyle w:val="TableContents"/>
              <w:bidi w:val="0"/>
              <w:spacing w:before="0" w:after="283"/>
              <w:ind w:left="0" w:right="0" w:hanging="0"/>
              <w:jc w:val="left"/>
              <w:rPr/>
            </w:pPr>
            <w:r>
              <w:rPr/>
              <w:t> </w:t>
            </w:r>
          </w:p>
        </w:tc>
        <w:tc>
          <w:tcPr>
            <w:tcW w:w="807"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(765</w:t>
            </w:r>
          </w:p>
        </w:tc>
        <w:tc>
          <w:tcPr>
            <w:tcW w:w="85"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4" w:type="dxa"/>
            <w:tcBorders/>
            <w:shd w:fill="CCEEFF" w:val="clear"/>
            <w:vAlign w:val="center"/>
          </w:tcPr>
          <w:p>
            <w:pPr>
              <w:pStyle w:val="TableContents"/>
              <w:bidi w:val="0"/>
              <w:spacing w:before="0" w:after="283"/>
              <w:jc w:val="left"/>
              <w:rPr/>
            </w:pPr>
            <w:r>
              <w:rPr/>
              <w:t> </w:t>
            </w:r>
          </w:p>
        </w:tc>
        <w:tc>
          <w:tcPr>
            <w:tcW w:w="121" w:type="dxa"/>
            <w:tcBorders/>
            <w:shd w:fill="CCEEFF" w:val="clear"/>
            <w:vAlign w:val="center"/>
          </w:tcPr>
          <w:p>
            <w:pPr>
              <w:pStyle w:val="TableContents"/>
              <w:bidi w:val="0"/>
              <w:spacing w:before="0" w:after="283"/>
              <w:ind w:left="0" w:right="0" w:hanging="0"/>
              <w:jc w:val="left"/>
              <w:rPr/>
            </w:pPr>
            <w:r>
              <w:rPr/>
              <w:t> </w:t>
            </w:r>
          </w:p>
        </w:tc>
        <w:tc>
          <w:tcPr>
            <w:tcW w:w="588"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(67</w:t>
            </w:r>
          </w:p>
        </w:tc>
        <w:tc>
          <w:tcPr>
            <w:tcW w:w="245"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r>
        <w:trPr/>
        <w:tc>
          <w:tcPr>
            <w:tcW w:w="24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39" w:type="dxa"/>
            <w:tcBorders/>
            <w:shd w:fill="FFFFFF" w:val="clear"/>
            <w:vAlign w:val="center"/>
          </w:tcPr>
          <w:p>
            <w:pPr>
              <w:pStyle w:val="TableContents"/>
              <w:bidi w:val="0"/>
              <w:spacing w:before="0" w:after="283"/>
              <w:jc w:val="left"/>
              <w:rPr/>
            </w:pPr>
            <w:r>
              <w:rPr/>
              <w:t> </w:t>
            </w:r>
          </w:p>
        </w:tc>
        <w:tc>
          <w:tcPr>
            <w:tcW w:w="1133" w:type="dxa"/>
            <w:tcBorders/>
            <w:shd w:fill="FFFFFF" w:val="clear"/>
            <w:vAlign w:val="center"/>
          </w:tcPr>
          <w:p>
            <w:pPr>
              <w:pStyle w:val="TableContents"/>
              <w:bidi w:val="0"/>
              <w:spacing w:before="0" w:after="283"/>
              <w:jc w:val="left"/>
              <w:rPr/>
            </w:pPr>
            <w:r>
              <w:rPr/>
              <w:t> </w:t>
            </w:r>
          </w:p>
        </w:tc>
        <w:tc>
          <w:tcPr>
            <w:tcW w:w="114" w:type="dxa"/>
            <w:tcBorders/>
            <w:shd w:fill="FFFFFF" w:val="clear"/>
            <w:vAlign w:val="center"/>
          </w:tcPr>
          <w:p>
            <w:pPr>
              <w:pStyle w:val="TableContents"/>
              <w:bidi w:val="0"/>
              <w:spacing w:before="0" w:after="283"/>
              <w:jc w:val="left"/>
              <w:rPr/>
            </w:pPr>
            <w:r>
              <w:rPr/>
              <w:t> </w:t>
            </w:r>
          </w:p>
        </w:tc>
        <w:tc>
          <w:tcPr>
            <w:tcW w:w="114" w:type="dxa"/>
            <w:tcBorders/>
            <w:shd w:fill="FFFFFF" w:val="clear"/>
            <w:vAlign w:val="center"/>
          </w:tcPr>
          <w:p>
            <w:pPr>
              <w:pStyle w:val="TableContents"/>
              <w:bidi w:val="0"/>
              <w:spacing w:before="0" w:after="283"/>
              <w:jc w:val="left"/>
              <w:rPr/>
            </w:pPr>
            <w:r>
              <w:rPr/>
              <w:t> </w:t>
            </w:r>
          </w:p>
        </w:tc>
        <w:tc>
          <w:tcPr>
            <w:tcW w:w="239" w:type="dxa"/>
            <w:tcBorders/>
            <w:shd w:fill="FFFFFF" w:val="clear"/>
            <w:vAlign w:val="center"/>
          </w:tcPr>
          <w:p>
            <w:pPr>
              <w:pStyle w:val="TableContents"/>
              <w:bidi w:val="0"/>
              <w:spacing w:before="0" w:after="283"/>
              <w:jc w:val="left"/>
              <w:rPr/>
            </w:pPr>
            <w:r>
              <w:rPr/>
              <w:t> </w:t>
            </w:r>
          </w:p>
        </w:tc>
        <w:tc>
          <w:tcPr>
            <w:tcW w:w="1335" w:type="dxa"/>
            <w:tcBorders/>
            <w:shd w:fill="FFFFFF" w:val="clear"/>
            <w:vAlign w:val="center"/>
          </w:tcPr>
          <w:p>
            <w:pPr>
              <w:pStyle w:val="TableContents"/>
              <w:bidi w:val="0"/>
              <w:spacing w:before="0" w:after="283"/>
              <w:jc w:val="left"/>
              <w:rPr/>
            </w:pPr>
            <w:r>
              <w:rPr/>
              <w:t> </w:t>
            </w:r>
          </w:p>
        </w:tc>
        <w:tc>
          <w:tcPr>
            <w:tcW w:w="64" w:type="dxa"/>
            <w:tcBorders/>
            <w:shd w:fill="FFFFFF" w:val="clear"/>
            <w:vAlign w:val="center"/>
          </w:tcPr>
          <w:p>
            <w:pPr>
              <w:pStyle w:val="TableContents"/>
              <w:bidi w:val="0"/>
              <w:spacing w:before="0" w:after="283"/>
              <w:jc w:val="left"/>
              <w:rPr/>
            </w:pPr>
            <w:r>
              <w:rPr/>
              <w:t> </w:t>
            </w:r>
          </w:p>
        </w:tc>
        <w:tc>
          <w:tcPr>
            <w:tcW w:w="64" w:type="dxa"/>
            <w:tcBorders/>
            <w:shd w:fill="FFFFFF" w:val="clear"/>
            <w:vAlign w:val="center"/>
          </w:tcPr>
          <w:p>
            <w:pPr>
              <w:pStyle w:val="TableContents"/>
              <w:bidi w:val="0"/>
              <w:spacing w:before="0" w:after="283"/>
              <w:jc w:val="left"/>
              <w:rPr/>
            </w:pPr>
            <w:r>
              <w:rPr/>
              <w:t> </w:t>
            </w:r>
          </w:p>
        </w:tc>
        <w:tc>
          <w:tcPr>
            <w:tcW w:w="133" w:type="dxa"/>
            <w:tcBorders/>
            <w:shd w:fill="FFFFFF" w:val="clear"/>
            <w:vAlign w:val="center"/>
          </w:tcPr>
          <w:p>
            <w:pPr>
              <w:pStyle w:val="TableContents"/>
              <w:bidi w:val="0"/>
              <w:spacing w:before="0" w:after="283"/>
              <w:jc w:val="left"/>
              <w:rPr/>
            </w:pPr>
            <w:r>
              <w:rPr/>
              <w:t> </w:t>
            </w:r>
          </w:p>
        </w:tc>
        <w:tc>
          <w:tcPr>
            <w:tcW w:w="807" w:type="dxa"/>
            <w:tcBorders/>
            <w:shd w:fill="FFFFFF" w:val="clear"/>
            <w:vAlign w:val="center"/>
          </w:tcPr>
          <w:p>
            <w:pPr>
              <w:pStyle w:val="TableContents"/>
              <w:bidi w:val="0"/>
              <w:spacing w:before="0" w:after="283"/>
              <w:jc w:val="left"/>
              <w:rPr/>
            </w:pPr>
            <w:r>
              <w:rPr/>
              <w:t> </w:t>
            </w:r>
          </w:p>
        </w:tc>
        <w:tc>
          <w:tcPr>
            <w:tcW w:w="85" w:type="dxa"/>
            <w:tcBorders/>
            <w:shd w:fill="FFFFFF" w:val="clear"/>
            <w:vAlign w:val="center"/>
          </w:tcPr>
          <w:p>
            <w:pPr>
              <w:pStyle w:val="TableContents"/>
              <w:bidi w:val="0"/>
              <w:spacing w:before="0" w:after="283"/>
              <w:jc w:val="left"/>
              <w:rPr/>
            </w:pPr>
            <w:r>
              <w:rPr/>
              <w:t> </w:t>
            </w:r>
          </w:p>
        </w:tc>
        <w:tc>
          <w:tcPr>
            <w:tcW w:w="64" w:type="dxa"/>
            <w:tcBorders/>
            <w:shd w:fill="FFFFFF" w:val="clear"/>
            <w:vAlign w:val="center"/>
          </w:tcPr>
          <w:p>
            <w:pPr>
              <w:pStyle w:val="TableContents"/>
              <w:bidi w:val="0"/>
              <w:spacing w:before="0" w:after="283"/>
              <w:jc w:val="left"/>
              <w:rPr/>
            </w:pPr>
            <w:r>
              <w:rPr/>
              <w:t> </w:t>
            </w:r>
          </w:p>
        </w:tc>
        <w:tc>
          <w:tcPr>
            <w:tcW w:w="121" w:type="dxa"/>
            <w:tcBorders/>
            <w:shd w:fill="FFFFFF" w:val="clear"/>
            <w:vAlign w:val="center"/>
          </w:tcPr>
          <w:p>
            <w:pPr>
              <w:pStyle w:val="TableContents"/>
              <w:bidi w:val="0"/>
              <w:spacing w:before="0" w:after="283"/>
              <w:jc w:val="left"/>
              <w:rPr/>
            </w:pPr>
            <w:r>
              <w:rPr/>
              <w:t> </w:t>
            </w:r>
          </w:p>
        </w:tc>
        <w:tc>
          <w:tcPr>
            <w:tcW w:w="588" w:type="dxa"/>
            <w:tcBorders/>
            <w:shd w:fill="FFFFFF" w:val="clear"/>
            <w:vAlign w:val="center"/>
          </w:tcPr>
          <w:p>
            <w:pPr>
              <w:pStyle w:val="TableContents"/>
              <w:bidi w:val="0"/>
              <w:spacing w:before="0" w:after="283"/>
              <w:jc w:val="left"/>
              <w:rPr/>
            </w:pPr>
            <w:r>
              <w:rPr/>
              <w:t> </w:t>
            </w:r>
          </w:p>
        </w:tc>
        <w:tc>
          <w:tcPr>
            <w:tcW w:w="245" w:type="dxa"/>
            <w:tcBorders/>
            <w:shd w:fill="FFFFFF" w:val="clear"/>
            <w:vAlign w:val="center"/>
          </w:tcPr>
          <w:p>
            <w:pPr>
              <w:pStyle w:val="TableContents"/>
              <w:bidi w:val="0"/>
              <w:spacing w:before="0" w:after="283"/>
              <w:jc w:val="left"/>
              <w:rPr/>
            </w:pPr>
            <w:r>
              <w:rPr/>
              <w:t> </w:t>
            </w:r>
          </w:p>
        </w:tc>
      </w:tr>
      <w:tr>
        <w:trPr/>
        <w:tc>
          <w:tcPr>
            <w:tcW w:w="2480" w:type="dxa"/>
            <w:tcBorders/>
            <w:shd w:fill="CCEEFF" w:val="clear"/>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Average sales prices:</w:t>
            </w:r>
          </w:p>
        </w:tc>
        <w:tc>
          <w:tcPr>
            <w:tcW w:w="60" w:type="dxa"/>
            <w:tcBorders/>
            <w:shd w:fill="CCEEFF" w:val="clear"/>
            <w:vAlign w:val="center"/>
          </w:tcPr>
          <w:p>
            <w:pPr>
              <w:pStyle w:val="TableContents"/>
              <w:bidi w:val="0"/>
              <w:spacing w:before="0" w:after="283"/>
              <w:jc w:val="left"/>
              <w:rPr/>
            </w:pPr>
            <w:r>
              <w:rPr/>
              <w:t> </w:t>
            </w:r>
          </w:p>
        </w:tc>
        <w:tc>
          <w:tcPr>
            <w:tcW w:w="239" w:type="dxa"/>
            <w:tcBorders/>
            <w:shd w:fill="CCEEFF" w:val="clear"/>
            <w:vAlign w:val="center"/>
          </w:tcPr>
          <w:p>
            <w:pPr>
              <w:pStyle w:val="TableContents"/>
              <w:bidi w:val="0"/>
              <w:spacing w:before="0" w:after="283"/>
              <w:jc w:val="left"/>
              <w:rPr/>
            </w:pPr>
            <w:r>
              <w:rPr/>
              <w:t> </w:t>
            </w:r>
          </w:p>
        </w:tc>
        <w:tc>
          <w:tcPr>
            <w:tcW w:w="1133" w:type="dxa"/>
            <w:tcBorders/>
            <w:shd w:fill="CCEEFF" w:val="clear"/>
            <w:vAlign w:val="center"/>
          </w:tcPr>
          <w:p>
            <w:pPr>
              <w:pStyle w:val="TableContents"/>
              <w:bidi w:val="0"/>
              <w:spacing w:before="0" w:after="283"/>
              <w:jc w:val="left"/>
              <w:rPr/>
            </w:pPr>
            <w:r>
              <w:rPr/>
              <w:t> </w:t>
            </w:r>
          </w:p>
        </w:tc>
        <w:tc>
          <w:tcPr>
            <w:tcW w:w="114" w:type="dxa"/>
            <w:tcBorders/>
            <w:shd w:fill="CCEEFF" w:val="clear"/>
            <w:vAlign w:val="center"/>
          </w:tcPr>
          <w:p>
            <w:pPr>
              <w:pStyle w:val="TableContents"/>
              <w:bidi w:val="0"/>
              <w:spacing w:before="0" w:after="283"/>
              <w:jc w:val="left"/>
              <w:rPr/>
            </w:pPr>
            <w:r>
              <w:rPr/>
              <w:t> </w:t>
            </w:r>
          </w:p>
        </w:tc>
        <w:tc>
          <w:tcPr>
            <w:tcW w:w="114" w:type="dxa"/>
            <w:tcBorders/>
            <w:shd w:fill="CCEEFF" w:val="clear"/>
            <w:vAlign w:val="center"/>
          </w:tcPr>
          <w:p>
            <w:pPr>
              <w:pStyle w:val="TableContents"/>
              <w:bidi w:val="0"/>
              <w:spacing w:before="0" w:after="283"/>
              <w:jc w:val="left"/>
              <w:rPr/>
            </w:pPr>
            <w:r>
              <w:rPr/>
              <w:t> </w:t>
            </w:r>
          </w:p>
        </w:tc>
        <w:tc>
          <w:tcPr>
            <w:tcW w:w="239" w:type="dxa"/>
            <w:tcBorders/>
            <w:shd w:fill="CCEEFF" w:val="clear"/>
            <w:vAlign w:val="center"/>
          </w:tcPr>
          <w:p>
            <w:pPr>
              <w:pStyle w:val="TableContents"/>
              <w:bidi w:val="0"/>
              <w:spacing w:before="0" w:after="283"/>
              <w:jc w:val="left"/>
              <w:rPr/>
            </w:pPr>
            <w:r>
              <w:rPr/>
              <w:t> </w:t>
            </w:r>
          </w:p>
        </w:tc>
        <w:tc>
          <w:tcPr>
            <w:tcW w:w="1335"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jc w:val="left"/>
              <w:rPr/>
            </w:pPr>
            <w:r>
              <w:rPr/>
              <w:t> </w:t>
            </w:r>
          </w:p>
        </w:tc>
        <w:tc>
          <w:tcPr>
            <w:tcW w:w="133" w:type="dxa"/>
            <w:tcBorders/>
            <w:shd w:fill="CCEEFF" w:val="clear"/>
            <w:vAlign w:val="center"/>
          </w:tcPr>
          <w:p>
            <w:pPr>
              <w:pStyle w:val="TableContents"/>
              <w:bidi w:val="0"/>
              <w:spacing w:before="0" w:after="283"/>
              <w:jc w:val="left"/>
              <w:rPr/>
            </w:pPr>
            <w:r>
              <w:rPr/>
              <w:t> </w:t>
            </w:r>
          </w:p>
        </w:tc>
        <w:tc>
          <w:tcPr>
            <w:tcW w:w="807" w:type="dxa"/>
            <w:tcBorders/>
            <w:shd w:fill="CCEEFF" w:val="clear"/>
            <w:vAlign w:val="center"/>
          </w:tcPr>
          <w:p>
            <w:pPr>
              <w:pStyle w:val="TableContents"/>
              <w:bidi w:val="0"/>
              <w:spacing w:before="0" w:after="283"/>
              <w:jc w:val="left"/>
              <w:rPr/>
            </w:pPr>
            <w:r>
              <w:rPr/>
              <w:t> </w:t>
            </w:r>
          </w:p>
        </w:tc>
        <w:tc>
          <w:tcPr>
            <w:tcW w:w="85"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jc w:val="left"/>
              <w:rPr/>
            </w:pPr>
            <w:r>
              <w:rPr/>
              <w:t> </w:t>
            </w:r>
          </w:p>
        </w:tc>
        <w:tc>
          <w:tcPr>
            <w:tcW w:w="121" w:type="dxa"/>
            <w:tcBorders/>
            <w:shd w:fill="CCEEFF" w:val="clear"/>
            <w:vAlign w:val="center"/>
          </w:tcPr>
          <w:p>
            <w:pPr>
              <w:pStyle w:val="TableContents"/>
              <w:bidi w:val="0"/>
              <w:spacing w:before="0" w:after="283"/>
              <w:jc w:val="left"/>
              <w:rPr/>
            </w:pPr>
            <w:r>
              <w:rPr/>
              <w:t> </w:t>
            </w:r>
          </w:p>
        </w:tc>
        <w:tc>
          <w:tcPr>
            <w:tcW w:w="588" w:type="dxa"/>
            <w:tcBorders/>
            <w:shd w:fill="CCEEFF" w:val="clear"/>
            <w:vAlign w:val="center"/>
          </w:tcPr>
          <w:p>
            <w:pPr>
              <w:pStyle w:val="TableContents"/>
              <w:bidi w:val="0"/>
              <w:spacing w:before="0" w:after="283"/>
              <w:jc w:val="left"/>
              <w:rPr/>
            </w:pPr>
            <w:r>
              <w:rPr/>
              <w:t> </w:t>
            </w:r>
          </w:p>
        </w:tc>
        <w:tc>
          <w:tcPr>
            <w:tcW w:w="245" w:type="dxa"/>
            <w:tcBorders/>
            <w:shd w:fill="CCEEFF" w:val="clear"/>
            <w:vAlign w:val="center"/>
          </w:tcPr>
          <w:p>
            <w:pPr>
              <w:pStyle w:val="TableContents"/>
              <w:bidi w:val="0"/>
              <w:spacing w:before="0" w:after="283"/>
              <w:jc w:val="left"/>
              <w:rPr/>
            </w:pPr>
            <w:r>
              <w:rPr/>
              <w:t> </w:t>
            </w:r>
          </w:p>
        </w:tc>
      </w:tr>
      <w:tr>
        <w:trPr/>
        <w:tc>
          <w:tcPr>
            <w:tcW w:w="2480" w:type="dxa"/>
            <w:tcBorders/>
            <w:shd w:fill="FFFF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Oil (Bbls)</w:t>
            </w:r>
          </w:p>
        </w:tc>
        <w:tc>
          <w:tcPr>
            <w:tcW w:w="60" w:type="dxa"/>
            <w:tcBorders/>
            <w:shd w:fill="FFFFFF" w:val="clear"/>
            <w:vAlign w:val="center"/>
          </w:tcPr>
          <w:p>
            <w:pPr>
              <w:pStyle w:val="TableContents"/>
              <w:bidi w:val="0"/>
              <w:spacing w:before="0" w:after="283"/>
              <w:ind w:left="0" w:right="0" w:hanging="0"/>
              <w:jc w:val="left"/>
              <w:rPr/>
            </w:pPr>
            <w:r>
              <w:rPr/>
              <w:t> </w:t>
            </w:r>
          </w:p>
        </w:tc>
        <w:tc>
          <w:tcPr>
            <w:tcW w:w="239" w:type="dxa"/>
            <w:tcBorders/>
            <w:shd w:fill="FFFF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1133"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60.12</w:t>
            </w:r>
          </w:p>
        </w:tc>
        <w:tc>
          <w:tcPr>
            <w:tcW w:w="114" w:type="dxa"/>
            <w:tcBorders/>
            <w:shd w:fill="FFFFFF" w:val="clear"/>
            <w:vAlign w:val="center"/>
          </w:tcPr>
          <w:p>
            <w:pPr>
              <w:pStyle w:val="TableContents"/>
              <w:bidi w:val="0"/>
              <w:spacing w:before="0" w:after="283"/>
              <w:jc w:val="left"/>
              <w:rPr/>
            </w:pPr>
            <w:r>
              <w:rPr/>
              <w:t> </w:t>
            </w:r>
          </w:p>
        </w:tc>
        <w:tc>
          <w:tcPr>
            <w:tcW w:w="114" w:type="dxa"/>
            <w:tcBorders/>
            <w:shd w:fill="FFFFFF" w:val="clear"/>
            <w:vAlign w:val="center"/>
          </w:tcPr>
          <w:p>
            <w:pPr>
              <w:pStyle w:val="TableContents"/>
              <w:bidi w:val="0"/>
              <w:spacing w:before="0" w:after="283"/>
              <w:ind w:left="0" w:right="0" w:hanging="0"/>
              <w:jc w:val="left"/>
              <w:rPr/>
            </w:pPr>
            <w:r>
              <w:rPr/>
              <w:t> </w:t>
            </w:r>
          </w:p>
        </w:tc>
        <w:tc>
          <w:tcPr>
            <w:tcW w:w="239" w:type="dxa"/>
            <w:tcBorders/>
            <w:shd w:fill="FFFF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1335"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71.50</w:t>
            </w:r>
          </w:p>
        </w:tc>
        <w:tc>
          <w:tcPr>
            <w:tcW w:w="64" w:type="dxa"/>
            <w:tcBorders/>
            <w:shd w:fill="FFFFFF" w:val="clear"/>
            <w:vAlign w:val="center"/>
          </w:tcPr>
          <w:p>
            <w:pPr>
              <w:pStyle w:val="TableContents"/>
              <w:bidi w:val="0"/>
              <w:spacing w:before="0" w:after="283"/>
              <w:jc w:val="left"/>
              <w:rPr/>
            </w:pPr>
            <w:r>
              <w:rPr/>
              <w:t> </w:t>
            </w:r>
          </w:p>
        </w:tc>
        <w:tc>
          <w:tcPr>
            <w:tcW w:w="64" w:type="dxa"/>
            <w:tcBorders/>
            <w:shd w:fill="FFFFFF" w:val="clear"/>
            <w:vAlign w:val="center"/>
          </w:tcPr>
          <w:p>
            <w:pPr>
              <w:pStyle w:val="TableContents"/>
              <w:bidi w:val="0"/>
              <w:spacing w:before="0" w:after="283"/>
              <w:ind w:left="0" w:right="0" w:hanging="0"/>
              <w:jc w:val="left"/>
              <w:rPr/>
            </w:pPr>
            <w:r>
              <w:rPr/>
              <w:t> </w:t>
            </w:r>
          </w:p>
        </w:tc>
        <w:tc>
          <w:tcPr>
            <w:tcW w:w="133" w:type="dxa"/>
            <w:tcBorders/>
            <w:shd w:fill="FFFF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807"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(11.38</w:t>
            </w:r>
          </w:p>
        </w:tc>
        <w:tc>
          <w:tcPr>
            <w:tcW w:w="85"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4" w:type="dxa"/>
            <w:tcBorders/>
            <w:shd w:fill="FFFFFF" w:val="clear"/>
            <w:vAlign w:val="center"/>
          </w:tcPr>
          <w:p>
            <w:pPr>
              <w:pStyle w:val="TableContents"/>
              <w:bidi w:val="0"/>
              <w:spacing w:before="0" w:after="283"/>
              <w:jc w:val="left"/>
              <w:rPr/>
            </w:pPr>
            <w:r>
              <w:rPr/>
              <w:t> </w:t>
            </w:r>
          </w:p>
        </w:tc>
        <w:tc>
          <w:tcPr>
            <w:tcW w:w="121" w:type="dxa"/>
            <w:tcBorders/>
            <w:shd w:fill="FFFFFF" w:val="clear"/>
            <w:vAlign w:val="center"/>
          </w:tcPr>
          <w:p>
            <w:pPr>
              <w:pStyle w:val="TableContents"/>
              <w:bidi w:val="0"/>
              <w:spacing w:before="0" w:after="283"/>
              <w:ind w:left="0" w:right="0" w:hanging="0"/>
              <w:jc w:val="left"/>
              <w:rPr/>
            </w:pPr>
            <w:r>
              <w:rPr/>
              <w:t> </w:t>
            </w:r>
          </w:p>
        </w:tc>
        <w:tc>
          <w:tcPr>
            <w:tcW w:w="588"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(16</w:t>
            </w:r>
          </w:p>
        </w:tc>
        <w:tc>
          <w:tcPr>
            <w:tcW w:w="245"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r>
        <w:trPr/>
        <w:tc>
          <w:tcPr>
            <w:tcW w:w="2480" w:type="dxa"/>
            <w:tcBorders/>
            <w:shd w:fill="CCEE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Natural gas and liquids (Mcfe)</w:t>
            </w:r>
          </w:p>
        </w:tc>
        <w:tc>
          <w:tcPr>
            <w:tcW w:w="60" w:type="dxa"/>
            <w:tcBorders/>
            <w:shd w:fill="CCEEFF" w:val="clear"/>
            <w:vAlign w:val="center"/>
          </w:tcPr>
          <w:p>
            <w:pPr>
              <w:pStyle w:val="TableContents"/>
              <w:bidi w:val="0"/>
              <w:spacing w:before="0" w:after="283"/>
              <w:jc w:val="left"/>
              <w:rPr/>
            </w:pPr>
            <w:r>
              <w:rPr/>
              <w:t> </w:t>
            </w:r>
          </w:p>
        </w:tc>
        <w:tc>
          <w:tcPr>
            <w:tcW w:w="239"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1133"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2.82</w:t>
            </w:r>
          </w:p>
        </w:tc>
        <w:tc>
          <w:tcPr>
            <w:tcW w:w="114" w:type="dxa"/>
            <w:tcBorders/>
            <w:shd w:fill="CCEEFF" w:val="clear"/>
            <w:vAlign w:val="center"/>
          </w:tcPr>
          <w:p>
            <w:pPr>
              <w:pStyle w:val="TableContents"/>
              <w:bidi w:val="0"/>
              <w:spacing w:before="0" w:after="283"/>
              <w:jc w:val="left"/>
              <w:rPr/>
            </w:pPr>
            <w:r>
              <w:rPr/>
              <w:t> </w:t>
            </w:r>
          </w:p>
        </w:tc>
        <w:tc>
          <w:tcPr>
            <w:tcW w:w="114" w:type="dxa"/>
            <w:tcBorders/>
            <w:shd w:fill="CCEEFF" w:val="clear"/>
            <w:vAlign w:val="center"/>
          </w:tcPr>
          <w:p>
            <w:pPr>
              <w:pStyle w:val="TableContents"/>
              <w:bidi w:val="0"/>
              <w:spacing w:before="0" w:after="283"/>
              <w:jc w:val="left"/>
              <w:rPr/>
            </w:pPr>
            <w:r>
              <w:rPr/>
              <w:t> </w:t>
            </w:r>
          </w:p>
        </w:tc>
        <w:tc>
          <w:tcPr>
            <w:tcW w:w="239"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133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2.18</w:t>
            </w:r>
          </w:p>
        </w:tc>
        <w:tc>
          <w:tcPr>
            <w:tcW w:w="64"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jc w:val="left"/>
              <w:rPr/>
            </w:pPr>
            <w:r>
              <w:rPr/>
              <w:t> </w:t>
            </w:r>
          </w:p>
        </w:tc>
        <w:tc>
          <w:tcPr>
            <w:tcW w:w="133"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807"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0.64</w:t>
            </w:r>
          </w:p>
        </w:tc>
        <w:tc>
          <w:tcPr>
            <w:tcW w:w="85"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jc w:val="left"/>
              <w:rPr/>
            </w:pPr>
            <w:r>
              <w:rPr/>
              <w:t> </w:t>
            </w:r>
          </w:p>
        </w:tc>
        <w:tc>
          <w:tcPr>
            <w:tcW w:w="121" w:type="dxa"/>
            <w:tcBorders/>
            <w:shd w:fill="CCEEFF" w:val="clear"/>
            <w:vAlign w:val="center"/>
          </w:tcPr>
          <w:p>
            <w:pPr>
              <w:pStyle w:val="TableContents"/>
              <w:bidi w:val="0"/>
              <w:spacing w:before="0" w:after="283"/>
              <w:ind w:left="0" w:right="0" w:hanging="0"/>
              <w:jc w:val="left"/>
              <w:rPr/>
            </w:pPr>
            <w:r>
              <w:rPr/>
              <w:t> </w:t>
            </w:r>
          </w:p>
        </w:tc>
        <w:tc>
          <w:tcPr>
            <w:tcW w:w="588"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29</w:t>
            </w:r>
          </w:p>
        </w:tc>
        <w:tc>
          <w:tcPr>
            <w:tcW w:w="245"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r>
        <w:trPr/>
        <w:tc>
          <w:tcPr>
            <w:tcW w:w="2480" w:type="dxa"/>
            <w:tcBorders/>
            <w:shd w:fill="FFFF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BOE</w:t>
            </w:r>
          </w:p>
        </w:tc>
        <w:tc>
          <w:tcPr>
            <w:tcW w:w="60" w:type="dxa"/>
            <w:tcBorders/>
            <w:shd w:fill="FFFFFF" w:val="clear"/>
            <w:vAlign w:val="center"/>
          </w:tcPr>
          <w:p>
            <w:pPr>
              <w:pStyle w:val="TableContents"/>
              <w:bidi w:val="0"/>
              <w:spacing w:before="0" w:after="283"/>
              <w:ind w:left="0" w:right="0" w:hanging="0"/>
              <w:jc w:val="left"/>
              <w:rPr/>
            </w:pPr>
            <w:r>
              <w:rPr/>
              <w:t> </w:t>
            </w:r>
          </w:p>
        </w:tc>
        <w:tc>
          <w:tcPr>
            <w:tcW w:w="239" w:type="dxa"/>
            <w:tcBorders/>
            <w:shd w:fill="FFFF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1133"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49.20</w:t>
            </w:r>
          </w:p>
        </w:tc>
        <w:tc>
          <w:tcPr>
            <w:tcW w:w="114" w:type="dxa"/>
            <w:tcBorders/>
            <w:shd w:fill="FFFFFF" w:val="clear"/>
            <w:vAlign w:val="center"/>
          </w:tcPr>
          <w:p>
            <w:pPr>
              <w:pStyle w:val="TableContents"/>
              <w:bidi w:val="0"/>
              <w:spacing w:before="0" w:after="283"/>
              <w:jc w:val="left"/>
              <w:rPr/>
            </w:pPr>
            <w:r>
              <w:rPr/>
              <w:t> </w:t>
            </w:r>
          </w:p>
        </w:tc>
        <w:tc>
          <w:tcPr>
            <w:tcW w:w="114" w:type="dxa"/>
            <w:tcBorders/>
            <w:shd w:fill="FFFFFF" w:val="clear"/>
            <w:vAlign w:val="center"/>
          </w:tcPr>
          <w:p>
            <w:pPr>
              <w:pStyle w:val="TableContents"/>
              <w:bidi w:val="0"/>
              <w:spacing w:before="0" w:after="283"/>
              <w:ind w:left="0" w:right="0" w:hanging="0"/>
              <w:jc w:val="left"/>
              <w:rPr/>
            </w:pPr>
            <w:r>
              <w:rPr/>
              <w:t> </w:t>
            </w:r>
          </w:p>
        </w:tc>
        <w:tc>
          <w:tcPr>
            <w:tcW w:w="239" w:type="dxa"/>
            <w:tcBorders/>
            <w:shd w:fill="FFFF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1335"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46.90</w:t>
            </w:r>
          </w:p>
        </w:tc>
        <w:tc>
          <w:tcPr>
            <w:tcW w:w="64" w:type="dxa"/>
            <w:tcBorders/>
            <w:shd w:fill="FFFFFF" w:val="clear"/>
            <w:vAlign w:val="center"/>
          </w:tcPr>
          <w:p>
            <w:pPr>
              <w:pStyle w:val="TableContents"/>
              <w:bidi w:val="0"/>
              <w:spacing w:before="0" w:after="283"/>
              <w:jc w:val="left"/>
              <w:rPr/>
            </w:pPr>
            <w:r>
              <w:rPr/>
              <w:t> </w:t>
            </w:r>
          </w:p>
        </w:tc>
        <w:tc>
          <w:tcPr>
            <w:tcW w:w="64" w:type="dxa"/>
            <w:tcBorders/>
            <w:shd w:fill="FFFFFF" w:val="clear"/>
            <w:vAlign w:val="center"/>
          </w:tcPr>
          <w:p>
            <w:pPr>
              <w:pStyle w:val="TableContents"/>
              <w:bidi w:val="0"/>
              <w:spacing w:before="0" w:after="283"/>
              <w:ind w:left="0" w:right="0" w:hanging="0"/>
              <w:jc w:val="left"/>
              <w:rPr/>
            </w:pPr>
            <w:r>
              <w:rPr/>
              <w:t> </w:t>
            </w:r>
          </w:p>
        </w:tc>
        <w:tc>
          <w:tcPr>
            <w:tcW w:w="133" w:type="dxa"/>
            <w:tcBorders/>
            <w:shd w:fill="FFFF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807"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2.30</w:t>
            </w:r>
          </w:p>
        </w:tc>
        <w:tc>
          <w:tcPr>
            <w:tcW w:w="85" w:type="dxa"/>
            <w:tcBorders/>
            <w:shd w:fill="FFFFFF" w:val="clear"/>
            <w:vAlign w:val="center"/>
          </w:tcPr>
          <w:p>
            <w:pPr>
              <w:pStyle w:val="TableContents"/>
              <w:bidi w:val="0"/>
              <w:spacing w:before="0" w:after="283"/>
              <w:jc w:val="left"/>
              <w:rPr/>
            </w:pPr>
            <w:r>
              <w:rPr/>
              <w:t> </w:t>
            </w:r>
          </w:p>
        </w:tc>
        <w:tc>
          <w:tcPr>
            <w:tcW w:w="64" w:type="dxa"/>
            <w:tcBorders/>
            <w:shd w:fill="FFFFFF" w:val="clear"/>
            <w:vAlign w:val="center"/>
          </w:tcPr>
          <w:p>
            <w:pPr>
              <w:pStyle w:val="TableContents"/>
              <w:bidi w:val="0"/>
              <w:spacing w:before="0" w:after="283"/>
              <w:jc w:val="left"/>
              <w:rPr/>
            </w:pPr>
            <w:r>
              <w:rPr/>
              <w:t> </w:t>
            </w:r>
          </w:p>
        </w:tc>
        <w:tc>
          <w:tcPr>
            <w:tcW w:w="121" w:type="dxa"/>
            <w:tcBorders/>
            <w:shd w:fill="FFFFFF" w:val="clear"/>
            <w:vAlign w:val="center"/>
          </w:tcPr>
          <w:p>
            <w:pPr>
              <w:pStyle w:val="TableContents"/>
              <w:bidi w:val="0"/>
              <w:spacing w:before="0" w:after="283"/>
              <w:ind w:left="0" w:right="0" w:hanging="0"/>
              <w:jc w:val="left"/>
              <w:rPr/>
            </w:pPr>
            <w:r>
              <w:rPr/>
              <w:t> </w:t>
            </w:r>
          </w:p>
        </w:tc>
        <w:tc>
          <w:tcPr>
            <w:tcW w:w="588"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5</w:t>
            </w:r>
          </w:p>
        </w:tc>
        <w:tc>
          <w:tcPr>
            <w:tcW w:w="245"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decrease in our oil and natural gas revenue of $3.2 million for the three months ended September 30, 2025, as compared to the three months ended September 30, 2024, was primarily due to a decrease of 67% in production quantities, offset by an increase in realized commodity pricing of 5% on a per barrel of oil equivalent (BOE) basis. For the three months ended September 30, 2025, we produced 35,326 BOE, or an average of 384 BOE per day, as compared to 105,699 BOE or an average of 1,149 BOE per day during the comparable period in 2024. The decrease in our production quantities primarily relates to the divestitures of our properties in the Karnes County, East Texas and Mid-con regions which closed during the first eight months of 2024 and the natural decline in production in remaining producing assets. During the three months ended September 30, 2025, our production was 75% oil and 25% natural gas and liquids compared to 58% oil and 42% natural gas and liquids produced during the three months ended September 30, 2024.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i/>
          <w:caps w:val="false"/>
          <w:smallCaps w:val="false"/>
          <w:sz w:val="20"/>
        </w:rPr>
        <w:t>Oil and  Natural Gas Production Costs</w:t>
      </w:r>
      <w:r>
        <w:rPr>
          <w:rFonts w:ascii="Times New Roman" w:hAnsi="Times New Roman"/>
          <w:caps w:val="false"/>
          <w:smallCaps w:val="false"/>
          <w:sz w:val="20"/>
        </w:rPr>
        <w:t>. Presented below is a comparison of our oil and natural gas production costs for the three months ended September 30, 2025 and 2024:</w:t>
      </w:r>
    </w:p>
    <w:p>
      <w:pPr>
        <w:pStyle w:val="TextBody"/>
        <w:bidi w:val="0"/>
        <w:spacing w:before="0" w:after="0"/>
        <w:ind w:left="0" w:right="0" w:hanging="0"/>
        <w:jc w:val="left"/>
        <w:rPr>
          <w:caps w:val="false"/>
          <w:smallCaps w:val="false"/>
        </w:rPr>
      </w:pPr>
      <w:r>
        <w:rPr>
          <w:caps w:val="false"/>
          <w:smallCaps w:val="false"/>
        </w:rPr>
        <w:t> </w:t>
      </w:r>
    </w:p>
    <w:tbl>
      <w:tblPr>
        <w:tblW w:w="7977" w:type="dxa"/>
        <w:jc w:val="left"/>
        <w:tblInd w:w="0" w:type="dxa"/>
        <w:tblLayout w:type="fixed"/>
        <w:tblCellMar>
          <w:top w:w="0" w:type="dxa"/>
          <w:left w:w="0" w:type="dxa"/>
          <w:bottom w:w="0" w:type="dxa"/>
          <w:right w:w="0" w:type="dxa"/>
        </w:tblCellMar>
      </w:tblPr>
      <w:tblGrid>
        <w:gridCol w:w="3080"/>
        <w:gridCol w:w="60"/>
        <w:gridCol w:w="277"/>
        <w:gridCol w:w="1076"/>
        <w:gridCol w:w="133"/>
        <w:gridCol w:w="133"/>
        <w:gridCol w:w="277"/>
        <w:gridCol w:w="1076"/>
        <w:gridCol w:w="60"/>
        <w:gridCol w:w="60"/>
        <w:gridCol w:w="129"/>
        <w:gridCol w:w="566"/>
        <w:gridCol w:w="80"/>
        <w:gridCol w:w="60"/>
        <w:gridCol w:w="101"/>
        <w:gridCol w:w="564"/>
        <w:gridCol w:w="245"/>
      </w:tblGrid>
      <w:tr>
        <w:trPr/>
        <w:tc>
          <w:tcPr>
            <w:tcW w:w="30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972"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Three months ended September 30,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500"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Change</w:t>
            </w:r>
          </w:p>
        </w:tc>
        <w:tc>
          <w:tcPr>
            <w:tcW w:w="245" w:type="dxa"/>
            <w:tcBorders/>
            <w:shd w:fill="FFFFFF" w:val="clear"/>
            <w:vAlign w:val="center"/>
          </w:tcPr>
          <w:p>
            <w:pPr>
              <w:pStyle w:val="TableContents"/>
              <w:bidi w:val="0"/>
              <w:spacing w:before="0" w:after="283"/>
              <w:jc w:val="left"/>
              <w:rPr/>
            </w:pPr>
            <w:r>
              <w:rPr/>
              <w:t> </w:t>
            </w:r>
          </w:p>
        </w:tc>
      </w:tr>
      <w:tr>
        <w:trPr/>
        <w:tc>
          <w:tcPr>
            <w:tcW w:w="30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353"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2025</w:t>
            </w:r>
          </w:p>
        </w:tc>
        <w:tc>
          <w:tcPr>
            <w:tcW w:w="133" w:type="dxa"/>
            <w:tcBorders/>
            <w:shd w:fill="FFFFFF" w:val="clear"/>
            <w:vAlign w:val="center"/>
          </w:tcPr>
          <w:p>
            <w:pPr>
              <w:pStyle w:val="TableContents"/>
              <w:bidi w:val="0"/>
              <w:spacing w:before="0" w:after="283"/>
              <w:jc w:val="left"/>
              <w:rPr/>
            </w:pPr>
            <w:r>
              <w:rPr/>
              <w:t> </w:t>
            </w:r>
          </w:p>
        </w:tc>
        <w:tc>
          <w:tcPr>
            <w:tcW w:w="133" w:type="dxa"/>
            <w:tcBorders/>
            <w:shd w:fill="FFFFFF" w:val="clear"/>
            <w:vAlign w:val="center"/>
          </w:tcPr>
          <w:p>
            <w:pPr>
              <w:pStyle w:val="TableContents"/>
              <w:bidi w:val="0"/>
              <w:spacing w:before="0" w:after="283"/>
              <w:ind w:left="0" w:right="0" w:hanging="0"/>
              <w:jc w:val="left"/>
              <w:rPr/>
            </w:pPr>
            <w:r>
              <w:rPr/>
              <w:t> </w:t>
            </w:r>
          </w:p>
        </w:tc>
        <w:tc>
          <w:tcPr>
            <w:tcW w:w="1353"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2024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69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Amount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66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Percent</w:t>
            </w:r>
          </w:p>
        </w:tc>
        <w:tc>
          <w:tcPr>
            <w:tcW w:w="245" w:type="dxa"/>
            <w:tcBorders/>
            <w:shd w:fill="FFFFFF" w:val="clear"/>
            <w:vAlign w:val="center"/>
          </w:tcPr>
          <w:p>
            <w:pPr>
              <w:pStyle w:val="TableContents"/>
              <w:bidi w:val="0"/>
              <w:spacing w:before="0" w:after="283"/>
              <w:jc w:val="left"/>
              <w:rPr/>
            </w:pPr>
            <w:r>
              <w:rPr/>
              <w:t> </w:t>
            </w:r>
          </w:p>
        </w:tc>
      </w:tr>
      <w:tr>
        <w:trPr/>
        <w:tc>
          <w:tcPr>
            <w:tcW w:w="30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4592" w:type="dxa"/>
            <w:gridSpan w:val="14"/>
            <w:tcBorders/>
            <w:shd w:fill="FFFFFF" w:val="cle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(in thousands)</w:t>
            </w:r>
          </w:p>
        </w:tc>
        <w:tc>
          <w:tcPr>
            <w:tcW w:w="245" w:type="dxa"/>
            <w:tcBorders/>
            <w:shd w:fill="FFFFFF" w:val="clear"/>
            <w:vAlign w:val="center"/>
          </w:tcPr>
          <w:p>
            <w:pPr>
              <w:pStyle w:val="TableContents"/>
              <w:bidi w:val="0"/>
              <w:spacing w:before="0" w:after="283"/>
              <w:jc w:val="left"/>
              <w:rPr/>
            </w:pPr>
            <w:r>
              <w:rPr/>
              <w:t> </w:t>
            </w:r>
          </w:p>
        </w:tc>
      </w:tr>
      <w:tr>
        <w:trPr/>
        <w:tc>
          <w:tcPr>
            <w:tcW w:w="3080"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Lease operating expenses</w:t>
            </w:r>
          </w:p>
        </w:tc>
        <w:tc>
          <w:tcPr>
            <w:tcW w:w="60" w:type="dxa"/>
            <w:tcBorders/>
            <w:shd w:fill="CCEEFF" w:val="clear"/>
            <w:vAlign w:val="center"/>
          </w:tcPr>
          <w:p>
            <w:pPr>
              <w:pStyle w:val="TableContents"/>
              <w:bidi w:val="0"/>
              <w:spacing w:before="0" w:after="283"/>
              <w:ind w:left="0" w:right="0" w:hanging="0"/>
              <w:jc w:val="left"/>
              <w:rPr/>
            </w:pPr>
            <w:r>
              <w:rPr/>
              <w:t> </w:t>
            </w:r>
          </w:p>
        </w:tc>
        <w:tc>
          <w:tcPr>
            <w:tcW w:w="277"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1076"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1,037</w:t>
            </w:r>
          </w:p>
        </w:tc>
        <w:tc>
          <w:tcPr>
            <w:tcW w:w="133" w:type="dxa"/>
            <w:tcBorders/>
            <w:shd w:fill="CCEEFF" w:val="clear"/>
            <w:vAlign w:val="center"/>
          </w:tcPr>
          <w:p>
            <w:pPr>
              <w:pStyle w:val="TableContents"/>
              <w:bidi w:val="0"/>
              <w:spacing w:before="0" w:after="283"/>
              <w:jc w:val="left"/>
              <w:rPr/>
            </w:pPr>
            <w:r>
              <w:rPr/>
              <w:t> </w:t>
            </w:r>
          </w:p>
        </w:tc>
        <w:tc>
          <w:tcPr>
            <w:tcW w:w="133" w:type="dxa"/>
            <w:tcBorders/>
            <w:shd w:fill="CCEEFF" w:val="clear"/>
            <w:vAlign w:val="center"/>
          </w:tcPr>
          <w:p>
            <w:pPr>
              <w:pStyle w:val="TableContents"/>
              <w:bidi w:val="0"/>
              <w:spacing w:before="0" w:after="283"/>
              <w:ind w:left="0" w:right="0" w:hanging="0"/>
              <w:jc w:val="left"/>
              <w:rPr/>
            </w:pPr>
            <w:r>
              <w:rPr/>
              <w:t> </w:t>
            </w:r>
          </w:p>
        </w:tc>
        <w:tc>
          <w:tcPr>
            <w:tcW w:w="277"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1076"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3,060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9"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566"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(2,023</w:t>
            </w:r>
          </w:p>
        </w:tc>
        <w:tc>
          <w:tcPr>
            <w:tcW w:w="80"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bidi w:val="0"/>
              <w:spacing w:before="0" w:after="283"/>
              <w:jc w:val="left"/>
              <w:rPr/>
            </w:pPr>
            <w:r>
              <w:rPr/>
              <w:t> </w:t>
            </w:r>
          </w:p>
        </w:tc>
        <w:tc>
          <w:tcPr>
            <w:tcW w:w="101" w:type="dxa"/>
            <w:tcBorders/>
            <w:shd w:fill="CCEEFF" w:val="clear"/>
            <w:vAlign w:val="center"/>
          </w:tcPr>
          <w:p>
            <w:pPr>
              <w:pStyle w:val="TableContents"/>
              <w:bidi w:val="0"/>
              <w:spacing w:before="0" w:after="283"/>
              <w:ind w:left="0" w:right="0" w:hanging="0"/>
              <w:jc w:val="left"/>
              <w:rPr/>
            </w:pPr>
            <w:r>
              <w:rPr/>
              <w:t> </w:t>
            </w:r>
          </w:p>
        </w:tc>
        <w:tc>
          <w:tcPr>
            <w:tcW w:w="564"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(66</w:t>
            </w:r>
          </w:p>
        </w:tc>
        <w:tc>
          <w:tcPr>
            <w:tcW w:w="245"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r>
        <w:trPr/>
        <w:tc>
          <w:tcPr>
            <w:tcW w:w="3080"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Gathering, transportation and treating</w:t>
            </w:r>
          </w:p>
        </w:tc>
        <w:tc>
          <w:tcPr>
            <w:tcW w:w="60" w:type="dxa"/>
            <w:tcBorders/>
            <w:shd w:fill="FFFFFF" w:val="clear"/>
            <w:vAlign w:val="center"/>
          </w:tcPr>
          <w:p>
            <w:pPr>
              <w:pStyle w:val="TableContents"/>
              <w:bidi w:val="0"/>
              <w:spacing w:before="0" w:after="283"/>
              <w:jc w:val="left"/>
              <w:rPr/>
            </w:pPr>
            <w:r>
              <w:rPr/>
              <w:t> </w:t>
            </w:r>
          </w:p>
        </w:tc>
        <w:tc>
          <w:tcPr>
            <w:tcW w:w="277" w:type="dxa"/>
            <w:tcBorders/>
            <w:shd w:fill="FFFFFF" w:val="clear"/>
            <w:vAlign w:val="center"/>
          </w:tcPr>
          <w:p>
            <w:pPr>
              <w:pStyle w:val="TableContents"/>
              <w:bidi w:val="0"/>
              <w:spacing w:before="0" w:after="283"/>
              <w:jc w:val="left"/>
              <w:rPr/>
            </w:pPr>
            <w:r>
              <w:rPr/>
              <w:t> </w:t>
            </w:r>
          </w:p>
        </w:tc>
        <w:tc>
          <w:tcPr>
            <w:tcW w:w="1076" w:type="dxa"/>
            <w:tcBorders/>
            <w:shd w:fill="FFFF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8</w:t>
            </w:r>
          </w:p>
        </w:tc>
        <w:tc>
          <w:tcPr>
            <w:tcW w:w="133" w:type="dxa"/>
            <w:tcBorders/>
            <w:shd w:fill="FFFFFF" w:val="clear"/>
            <w:vAlign w:val="center"/>
          </w:tcPr>
          <w:p>
            <w:pPr>
              <w:pStyle w:val="TableContents"/>
              <w:bidi w:val="0"/>
              <w:spacing w:before="0" w:after="283"/>
              <w:jc w:val="left"/>
              <w:rPr/>
            </w:pPr>
            <w:r>
              <w:rPr/>
              <w:t> </w:t>
            </w:r>
          </w:p>
        </w:tc>
        <w:tc>
          <w:tcPr>
            <w:tcW w:w="133" w:type="dxa"/>
            <w:tcBorders/>
            <w:shd w:fill="FFFFFF" w:val="clear"/>
            <w:vAlign w:val="center"/>
          </w:tcPr>
          <w:p>
            <w:pPr>
              <w:pStyle w:val="TableContents"/>
              <w:bidi w:val="0"/>
              <w:spacing w:before="0" w:after="283"/>
              <w:jc w:val="left"/>
              <w:rPr/>
            </w:pPr>
            <w:r>
              <w:rPr/>
              <w:t> </w:t>
            </w:r>
          </w:p>
        </w:tc>
        <w:tc>
          <w:tcPr>
            <w:tcW w:w="277" w:type="dxa"/>
            <w:tcBorders/>
            <w:shd w:fill="FFFFFF" w:val="clear"/>
            <w:vAlign w:val="center"/>
          </w:tcPr>
          <w:p>
            <w:pPr>
              <w:pStyle w:val="TableContents"/>
              <w:bidi w:val="0"/>
              <w:spacing w:before="0" w:after="283"/>
              <w:jc w:val="left"/>
              <w:rPr/>
            </w:pPr>
            <w:r>
              <w:rPr/>
              <w:t> </w:t>
            </w:r>
          </w:p>
        </w:tc>
        <w:tc>
          <w:tcPr>
            <w:tcW w:w="1076" w:type="dxa"/>
            <w:tcBorders/>
            <w:shd w:fill="FFFF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43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9"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566" w:type="dxa"/>
            <w:tcBorders/>
            <w:shd w:fill="FFFF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(35</w:t>
            </w:r>
          </w:p>
        </w:tc>
        <w:tc>
          <w:tcPr>
            <w:tcW w:w="80"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FFFFFF" w:val="clear"/>
            <w:vAlign w:val="center"/>
          </w:tcPr>
          <w:p>
            <w:pPr>
              <w:pStyle w:val="TableContents"/>
              <w:bidi w:val="0"/>
              <w:spacing w:before="0" w:after="283"/>
              <w:jc w:val="left"/>
              <w:rPr/>
            </w:pPr>
            <w:r>
              <w:rPr/>
              <w:t> </w:t>
            </w:r>
          </w:p>
        </w:tc>
        <w:tc>
          <w:tcPr>
            <w:tcW w:w="101" w:type="dxa"/>
            <w:tcBorders/>
            <w:shd w:fill="FFFFFF" w:val="clear"/>
            <w:vAlign w:val="center"/>
          </w:tcPr>
          <w:p>
            <w:pPr>
              <w:pStyle w:val="TableContents"/>
              <w:bidi w:val="0"/>
              <w:spacing w:before="0" w:after="283"/>
              <w:jc w:val="left"/>
              <w:rPr/>
            </w:pPr>
            <w:r>
              <w:rPr/>
              <w:t> </w:t>
            </w:r>
          </w:p>
        </w:tc>
        <w:tc>
          <w:tcPr>
            <w:tcW w:w="564" w:type="dxa"/>
            <w:tcBorders/>
            <w:shd w:fill="FFFF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(81</w:t>
            </w:r>
          </w:p>
        </w:tc>
        <w:tc>
          <w:tcPr>
            <w:tcW w:w="245"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r>
        <w:trPr/>
        <w:tc>
          <w:tcPr>
            <w:tcW w:w="3080"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Production taxes</w:t>
            </w:r>
          </w:p>
        </w:tc>
        <w:tc>
          <w:tcPr>
            <w:tcW w:w="60" w:type="dxa"/>
            <w:tcBorders/>
            <w:shd w:fill="CCEEFF" w:val="clear"/>
            <w:vAlign w:val="center"/>
          </w:tcPr>
          <w:p>
            <w:pPr>
              <w:pStyle w:val="TableContents"/>
              <w:bidi w:val="0"/>
              <w:spacing w:before="0" w:after="283"/>
              <w:ind w:left="0" w:right="0" w:hanging="0"/>
              <w:jc w:val="left"/>
              <w:rPr/>
            </w:pPr>
            <w:r>
              <w:rPr/>
              <w:t> </w:t>
            </w:r>
          </w:p>
        </w:tc>
        <w:tc>
          <w:tcPr>
            <w:tcW w:w="277" w:type="dxa"/>
            <w:tcBorders/>
            <w:shd w:fill="CCEEFF" w:val="clear"/>
            <w:vAlign w:val="center"/>
          </w:tcPr>
          <w:p>
            <w:pPr>
              <w:pStyle w:val="TableContents"/>
              <w:bidi w:val="0"/>
              <w:spacing w:before="0" w:after="283"/>
              <w:ind w:left="0" w:right="0" w:hanging="0"/>
              <w:jc w:val="left"/>
              <w:rPr/>
            </w:pPr>
            <w:r>
              <w:rPr/>
              <w:t> </w:t>
            </w:r>
          </w:p>
        </w:tc>
        <w:tc>
          <w:tcPr>
            <w:tcW w:w="1076"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136</w:t>
            </w:r>
          </w:p>
        </w:tc>
        <w:tc>
          <w:tcPr>
            <w:tcW w:w="133" w:type="dxa"/>
            <w:tcBorders/>
            <w:shd w:fill="CCEEFF" w:val="clear"/>
            <w:vAlign w:val="center"/>
          </w:tcPr>
          <w:p>
            <w:pPr>
              <w:pStyle w:val="TableContents"/>
              <w:bidi w:val="0"/>
              <w:spacing w:before="0" w:after="283"/>
              <w:jc w:val="left"/>
              <w:rPr/>
            </w:pPr>
            <w:r>
              <w:rPr/>
              <w:t> </w:t>
            </w:r>
          </w:p>
        </w:tc>
        <w:tc>
          <w:tcPr>
            <w:tcW w:w="133" w:type="dxa"/>
            <w:tcBorders/>
            <w:shd w:fill="CCEEFF" w:val="clear"/>
            <w:vAlign w:val="center"/>
          </w:tcPr>
          <w:p>
            <w:pPr>
              <w:pStyle w:val="TableContents"/>
              <w:bidi w:val="0"/>
              <w:spacing w:before="0" w:after="283"/>
              <w:ind w:left="0" w:right="0" w:hanging="0"/>
              <w:jc w:val="left"/>
              <w:rPr/>
            </w:pPr>
            <w:r>
              <w:rPr/>
              <w:t> </w:t>
            </w:r>
          </w:p>
        </w:tc>
        <w:tc>
          <w:tcPr>
            <w:tcW w:w="277" w:type="dxa"/>
            <w:tcBorders/>
            <w:shd w:fill="CCEEFF" w:val="clear"/>
            <w:vAlign w:val="center"/>
          </w:tcPr>
          <w:p>
            <w:pPr>
              <w:pStyle w:val="TableContents"/>
              <w:bidi w:val="0"/>
              <w:spacing w:before="0" w:after="283"/>
              <w:ind w:left="0" w:right="0" w:hanging="0"/>
              <w:jc w:val="left"/>
              <w:rPr/>
            </w:pPr>
            <w:r>
              <w:rPr/>
              <w:t> </w:t>
            </w:r>
          </w:p>
        </w:tc>
        <w:tc>
          <w:tcPr>
            <w:tcW w:w="1076"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298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9"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566"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(162</w:t>
            </w:r>
          </w:p>
        </w:tc>
        <w:tc>
          <w:tcPr>
            <w:tcW w:w="80"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bidi w:val="0"/>
              <w:spacing w:before="0" w:after="283"/>
              <w:jc w:val="left"/>
              <w:rPr/>
            </w:pPr>
            <w:r>
              <w:rPr/>
              <w:t> </w:t>
            </w:r>
          </w:p>
        </w:tc>
        <w:tc>
          <w:tcPr>
            <w:tcW w:w="101" w:type="dxa"/>
            <w:tcBorders/>
            <w:shd w:fill="CCEEFF" w:val="clear"/>
            <w:vAlign w:val="center"/>
          </w:tcPr>
          <w:p>
            <w:pPr>
              <w:pStyle w:val="TableContents"/>
              <w:bidi w:val="0"/>
              <w:spacing w:before="0" w:after="283"/>
              <w:ind w:left="0" w:right="0" w:hanging="0"/>
              <w:jc w:val="left"/>
              <w:rPr/>
            </w:pPr>
            <w:r>
              <w:rPr/>
              <w:t> </w:t>
            </w:r>
          </w:p>
        </w:tc>
        <w:tc>
          <w:tcPr>
            <w:tcW w:w="564"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(54</w:t>
            </w:r>
          </w:p>
        </w:tc>
        <w:tc>
          <w:tcPr>
            <w:tcW w:w="245"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r>
        <w:trPr/>
        <w:tc>
          <w:tcPr>
            <w:tcW w:w="3080"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Exploration Expense</w:t>
            </w:r>
          </w:p>
        </w:tc>
        <w:tc>
          <w:tcPr>
            <w:tcW w:w="60" w:type="dxa"/>
            <w:tcBorders/>
            <w:shd w:fill="FFFFFF" w:val="clear"/>
            <w:vAlign w:val="center"/>
          </w:tcPr>
          <w:p>
            <w:pPr>
              <w:pStyle w:val="TableContents"/>
              <w:bidi w:val="0"/>
              <w:spacing w:before="0" w:after="283"/>
              <w:jc w:val="left"/>
              <w:rPr/>
            </w:pPr>
            <w:r>
              <w:rPr/>
              <w:t> </w:t>
            </w:r>
          </w:p>
        </w:tc>
        <w:tc>
          <w:tcPr>
            <w:tcW w:w="277" w:type="dxa"/>
            <w:tcBorders/>
            <w:shd w:fill="FFFFFF" w:val="clear"/>
            <w:vAlign w:val="center"/>
          </w:tcPr>
          <w:p>
            <w:pPr>
              <w:pStyle w:val="TableContents"/>
              <w:bidi w:val="0"/>
              <w:spacing w:before="0" w:after="283"/>
              <w:jc w:val="left"/>
              <w:rPr/>
            </w:pPr>
            <w:r>
              <w:rPr/>
              <w:t> </w:t>
            </w:r>
          </w:p>
        </w:tc>
        <w:tc>
          <w:tcPr>
            <w:tcW w:w="1076" w:type="dxa"/>
            <w:tcBorders/>
            <w:shd w:fill="FFFF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128</w:t>
            </w:r>
          </w:p>
        </w:tc>
        <w:tc>
          <w:tcPr>
            <w:tcW w:w="133" w:type="dxa"/>
            <w:tcBorders/>
            <w:shd w:fill="FFFFFF" w:val="clear"/>
            <w:vAlign w:val="center"/>
          </w:tcPr>
          <w:p>
            <w:pPr>
              <w:pStyle w:val="TableContents"/>
              <w:bidi w:val="0"/>
              <w:spacing w:before="0" w:after="283"/>
              <w:jc w:val="left"/>
              <w:rPr/>
            </w:pPr>
            <w:r>
              <w:rPr/>
              <w:t> </w:t>
            </w:r>
          </w:p>
        </w:tc>
        <w:tc>
          <w:tcPr>
            <w:tcW w:w="133" w:type="dxa"/>
            <w:tcBorders/>
            <w:shd w:fill="FFFFFF" w:val="clear"/>
            <w:vAlign w:val="center"/>
          </w:tcPr>
          <w:p>
            <w:pPr>
              <w:pStyle w:val="TableContents"/>
              <w:bidi w:val="0"/>
              <w:spacing w:before="0" w:after="283"/>
              <w:jc w:val="left"/>
              <w:rPr/>
            </w:pPr>
            <w:r>
              <w:rPr/>
              <w:t> </w:t>
            </w:r>
          </w:p>
        </w:tc>
        <w:tc>
          <w:tcPr>
            <w:tcW w:w="277" w:type="dxa"/>
            <w:tcBorders/>
            <w:shd w:fill="FFFFFF" w:val="clear"/>
            <w:vAlign w:val="center"/>
          </w:tcPr>
          <w:p>
            <w:pPr>
              <w:pStyle w:val="TableContents"/>
              <w:bidi w:val="0"/>
              <w:spacing w:before="0" w:after="283"/>
              <w:jc w:val="left"/>
              <w:rPr/>
            </w:pPr>
            <w:r>
              <w:rPr/>
              <w:t> </w:t>
            </w:r>
          </w:p>
        </w:tc>
        <w:tc>
          <w:tcPr>
            <w:tcW w:w="1076" w:type="dxa"/>
            <w:tcBorders/>
            <w:shd w:fill="FFFF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9"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566" w:type="dxa"/>
            <w:tcBorders/>
            <w:shd w:fill="FFFF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128</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1" w:type="dxa"/>
            <w:tcBorders/>
            <w:shd w:fill="FFFFFF" w:val="clear"/>
            <w:vAlign w:val="center"/>
          </w:tcPr>
          <w:p>
            <w:pPr>
              <w:pStyle w:val="TableContents"/>
              <w:bidi w:val="0"/>
              <w:spacing w:before="0" w:after="283"/>
              <w:jc w:val="left"/>
              <w:rPr/>
            </w:pPr>
            <w:r>
              <w:rPr/>
              <w:t> </w:t>
            </w:r>
          </w:p>
        </w:tc>
        <w:tc>
          <w:tcPr>
            <w:tcW w:w="564" w:type="dxa"/>
            <w:tcBorders/>
            <w:shd w:fill="FFFF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100</w:t>
            </w:r>
          </w:p>
        </w:tc>
        <w:tc>
          <w:tcPr>
            <w:tcW w:w="245"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r>
        <w:trPr/>
        <w:tc>
          <w:tcPr>
            <w:tcW w:w="30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77" w:type="dxa"/>
            <w:tcBorders/>
            <w:shd w:fill="CCEEFF" w:val="clear"/>
            <w:vAlign w:val="center"/>
          </w:tcPr>
          <w:p>
            <w:pPr>
              <w:pStyle w:val="TableContents"/>
              <w:bidi w:val="0"/>
              <w:spacing w:before="0" w:after="283"/>
              <w:jc w:val="left"/>
              <w:rPr/>
            </w:pPr>
            <w:r>
              <w:rPr/>
              <w:t> </w:t>
            </w:r>
          </w:p>
        </w:tc>
        <w:tc>
          <w:tcPr>
            <w:tcW w:w="1076" w:type="dxa"/>
            <w:tcBorders/>
            <w:shd w:fill="CCEEFF" w:val="clear"/>
            <w:vAlign w:val="center"/>
          </w:tcPr>
          <w:p>
            <w:pPr>
              <w:pStyle w:val="TableContents"/>
              <w:bidi w:val="0"/>
              <w:spacing w:before="0" w:after="283"/>
              <w:jc w:val="left"/>
              <w:rPr/>
            </w:pPr>
            <w:r>
              <w:rPr/>
              <w:t> </w:t>
            </w:r>
          </w:p>
        </w:tc>
        <w:tc>
          <w:tcPr>
            <w:tcW w:w="133" w:type="dxa"/>
            <w:tcBorders/>
            <w:shd w:fill="CCEEFF" w:val="clear"/>
            <w:vAlign w:val="center"/>
          </w:tcPr>
          <w:p>
            <w:pPr>
              <w:pStyle w:val="TableContents"/>
              <w:bidi w:val="0"/>
              <w:spacing w:before="0" w:after="283"/>
              <w:jc w:val="left"/>
              <w:rPr/>
            </w:pPr>
            <w:r>
              <w:rPr/>
              <w:t> </w:t>
            </w:r>
          </w:p>
        </w:tc>
        <w:tc>
          <w:tcPr>
            <w:tcW w:w="133" w:type="dxa"/>
            <w:tcBorders/>
            <w:shd w:fill="CCEEFF" w:val="clear"/>
            <w:vAlign w:val="center"/>
          </w:tcPr>
          <w:p>
            <w:pPr>
              <w:pStyle w:val="TableContents"/>
              <w:bidi w:val="0"/>
              <w:spacing w:before="0" w:after="283"/>
              <w:jc w:val="left"/>
              <w:rPr/>
            </w:pPr>
            <w:r>
              <w:rPr/>
              <w:t> </w:t>
            </w:r>
          </w:p>
        </w:tc>
        <w:tc>
          <w:tcPr>
            <w:tcW w:w="277" w:type="dxa"/>
            <w:tcBorders/>
            <w:shd w:fill="CCEEFF" w:val="clear"/>
            <w:vAlign w:val="center"/>
          </w:tcPr>
          <w:p>
            <w:pPr>
              <w:pStyle w:val="TableContents"/>
              <w:bidi w:val="0"/>
              <w:spacing w:before="0" w:after="283"/>
              <w:jc w:val="left"/>
              <w:rPr/>
            </w:pPr>
            <w:r>
              <w:rPr/>
              <w:t> </w:t>
            </w:r>
          </w:p>
        </w:tc>
        <w:tc>
          <w:tcPr>
            <w:tcW w:w="1076"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9" w:type="dxa"/>
            <w:tcBorders/>
            <w:shd w:fill="CCEEFF" w:val="clear"/>
            <w:vAlign w:val="center"/>
          </w:tcPr>
          <w:p>
            <w:pPr>
              <w:pStyle w:val="TableContents"/>
              <w:bidi w:val="0"/>
              <w:spacing w:before="0" w:after="283"/>
              <w:jc w:val="left"/>
              <w:rPr/>
            </w:pPr>
            <w:r>
              <w:rPr/>
              <w:t> </w:t>
            </w:r>
          </w:p>
        </w:tc>
        <w:tc>
          <w:tcPr>
            <w:tcW w:w="566"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1" w:type="dxa"/>
            <w:tcBorders/>
            <w:shd w:fill="CCEEFF" w:val="clear"/>
            <w:vAlign w:val="center"/>
          </w:tcPr>
          <w:p>
            <w:pPr>
              <w:pStyle w:val="TableContents"/>
              <w:bidi w:val="0"/>
              <w:spacing w:before="0" w:after="283"/>
              <w:jc w:val="left"/>
              <w:rPr/>
            </w:pPr>
            <w:r>
              <w:rPr/>
              <w:t> </w:t>
            </w:r>
          </w:p>
        </w:tc>
        <w:tc>
          <w:tcPr>
            <w:tcW w:w="564" w:type="dxa"/>
            <w:tcBorders/>
            <w:shd w:fill="CCEEFF" w:val="clear"/>
            <w:vAlign w:val="center"/>
          </w:tcPr>
          <w:p>
            <w:pPr>
              <w:pStyle w:val="TableContents"/>
              <w:bidi w:val="0"/>
              <w:spacing w:before="0" w:after="283"/>
              <w:jc w:val="left"/>
              <w:rPr/>
            </w:pPr>
            <w:r>
              <w:rPr/>
              <w:t> </w:t>
            </w:r>
          </w:p>
        </w:tc>
        <w:tc>
          <w:tcPr>
            <w:tcW w:w="245" w:type="dxa"/>
            <w:tcBorders/>
            <w:shd w:fill="CCEEFF" w:val="clear"/>
            <w:vAlign w:val="center"/>
          </w:tcPr>
          <w:p>
            <w:pPr>
              <w:pStyle w:val="TableContents"/>
              <w:bidi w:val="0"/>
              <w:spacing w:before="0" w:after="283"/>
              <w:jc w:val="left"/>
              <w:rPr/>
            </w:pPr>
            <w:r>
              <w:rPr/>
              <w:t> </w:t>
            </w:r>
          </w:p>
        </w:tc>
      </w:tr>
      <w:tr>
        <w:trPr/>
        <w:tc>
          <w:tcPr>
            <w:tcW w:w="3080" w:type="dxa"/>
            <w:tcBorders/>
            <w:shd w:fill="FFFF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Total</w:t>
            </w:r>
          </w:p>
        </w:tc>
        <w:tc>
          <w:tcPr>
            <w:tcW w:w="60" w:type="dxa"/>
            <w:tcBorders/>
            <w:shd w:fill="FFFFFF" w:val="clear"/>
            <w:vAlign w:val="center"/>
          </w:tcPr>
          <w:p>
            <w:pPr>
              <w:pStyle w:val="TableContents"/>
              <w:bidi w:val="0"/>
              <w:spacing w:before="0" w:after="283"/>
              <w:ind w:left="0" w:right="0" w:hanging="0"/>
              <w:jc w:val="left"/>
              <w:rPr/>
            </w:pPr>
            <w:r>
              <w:rPr/>
              <w:t> </w:t>
            </w:r>
          </w:p>
        </w:tc>
        <w:tc>
          <w:tcPr>
            <w:tcW w:w="277"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1076"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1,309</w:t>
            </w:r>
          </w:p>
        </w:tc>
        <w:tc>
          <w:tcPr>
            <w:tcW w:w="133" w:type="dxa"/>
            <w:tcBorders/>
            <w:shd w:fill="FFFFFF" w:val="clear"/>
            <w:vAlign w:val="center"/>
          </w:tcPr>
          <w:p>
            <w:pPr>
              <w:pStyle w:val="TableContents"/>
              <w:bidi w:val="0"/>
              <w:spacing w:before="0" w:after="283"/>
              <w:jc w:val="left"/>
              <w:rPr/>
            </w:pPr>
            <w:r>
              <w:rPr/>
              <w:t> </w:t>
            </w:r>
          </w:p>
        </w:tc>
        <w:tc>
          <w:tcPr>
            <w:tcW w:w="133" w:type="dxa"/>
            <w:tcBorders/>
            <w:shd w:fill="FFFFFF" w:val="clear"/>
            <w:vAlign w:val="center"/>
          </w:tcPr>
          <w:p>
            <w:pPr>
              <w:pStyle w:val="TableContents"/>
              <w:bidi w:val="0"/>
              <w:spacing w:before="0" w:after="283"/>
              <w:ind w:left="0" w:right="0" w:hanging="0"/>
              <w:jc w:val="left"/>
              <w:rPr/>
            </w:pPr>
            <w:r>
              <w:rPr/>
              <w:t> </w:t>
            </w:r>
          </w:p>
        </w:tc>
        <w:tc>
          <w:tcPr>
            <w:tcW w:w="277"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1076"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3,401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9"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566"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(2,092</w:t>
            </w:r>
          </w:p>
        </w:tc>
        <w:tc>
          <w:tcPr>
            <w:tcW w:w="80"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FFFFFF" w:val="clear"/>
            <w:vAlign w:val="center"/>
          </w:tcPr>
          <w:p>
            <w:pPr>
              <w:pStyle w:val="TableContents"/>
              <w:bidi w:val="0"/>
              <w:spacing w:before="0" w:after="283"/>
              <w:jc w:val="left"/>
              <w:rPr/>
            </w:pPr>
            <w:r>
              <w:rPr/>
              <w:t> </w:t>
            </w:r>
          </w:p>
        </w:tc>
        <w:tc>
          <w:tcPr>
            <w:tcW w:w="101"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564"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(62</w:t>
            </w:r>
          </w:p>
        </w:tc>
        <w:tc>
          <w:tcPr>
            <w:tcW w:w="245"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r>
        <w:trPr/>
        <w:tc>
          <w:tcPr>
            <w:tcW w:w="30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77" w:type="dxa"/>
            <w:tcBorders/>
            <w:shd w:fill="CCEEFF" w:val="clear"/>
            <w:vAlign w:val="center"/>
          </w:tcPr>
          <w:p>
            <w:pPr>
              <w:pStyle w:val="TableContents"/>
              <w:bidi w:val="0"/>
              <w:spacing w:before="0" w:after="283"/>
              <w:jc w:val="left"/>
              <w:rPr/>
            </w:pPr>
            <w:r>
              <w:rPr/>
              <w:t> </w:t>
            </w:r>
          </w:p>
        </w:tc>
        <w:tc>
          <w:tcPr>
            <w:tcW w:w="1076" w:type="dxa"/>
            <w:tcBorders/>
            <w:shd w:fill="CCEEFF" w:val="clear"/>
            <w:vAlign w:val="center"/>
          </w:tcPr>
          <w:p>
            <w:pPr>
              <w:pStyle w:val="TableContents"/>
              <w:bidi w:val="0"/>
              <w:spacing w:before="0" w:after="283"/>
              <w:jc w:val="left"/>
              <w:rPr/>
            </w:pPr>
            <w:r>
              <w:rPr/>
              <w:t> </w:t>
            </w:r>
          </w:p>
        </w:tc>
        <w:tc>
          <w:tcPr>
            <w:tcW w:w="133" w:type="dxa"/>
            <w:tcBorders/>
            <w:shd w:fill="CCEEFF" w:val="clear"/>
            <w:vAlign w:val="center"/>
          </w:tcPr>
          <w:p>
            <w:pPr>
              <w:pStyle w:val="TableContents"/>
              <w:bidi w:val="0"/>
              <w:spacing w:before="0" w:after="283"/>
              <w:jc w:val="left"/>
              <w:rPr/>
            </w:pPr>
            <w:r>
              <w:rPr/>
              <w:t> </w:t>
            </w:r>
          </w:p>
        </w:tc>
        <w:tc>
          <w:tcPr>
            <w:tcW w:w="133" w:type="dxa"/>
            <w:tcBorders/>
            <w:shd w:fill="CCEEFF" w:val="clear"/>
            <w:vAlign w:val="center"/>
          </w:tcPr>
          <w:p>
            <w:pPr>
              <w:pStyle w:val="TableContents"/>
              <w:bidi w:val="0"/>
              <w:spacing w:before="0" w:after="283"/>
              <w:jc w:val="left"/>
              <w:rPr/>
            </w:pPr>
            <w:r>
              <w:rPr/>
              <w:t> </w:t>
            </w:r>
          </w:p>
        </w:tc>
        <w:tc>
          <w:tcPr>
            <w:tcW w:w="277" w:type="dxa"/>
            <w:tcBorders/>
            <w:shd w:fill="CCEEFF" w:val="clear"/>
            <w:vAlign w:val="center"/>
          </w:tcPr>
          <w:p>
            <w:pPr>
              <w:pStyle w:val="TableContents"/>
              <w:bidi w:val="0"/>
              <w:spacing w:before="0" w:after="283"/>
              <w:jc w:val="left"/>
              <w:rPr/>
            </w:pPr>
            <w:r>
              <w:rPr/>
              <w:t> </w:t>
            </w:r>
          </w:p>
        </w:tc>
        <w:tc>
          <w:tcPr>
            <w:tcW w:w="1076"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9" w:type="dxa"/>
            <w:tcBorders/>
            <w:shd w:fill="CCEEFF" w:val="clear"/>
            <w:vAlign w:val="center"/>
          </w:tcPr>
          <w:p>
            <w:pPr>
              <w:pStyle w:val="TableContents"/>
              <w:bidi w:val="0"/>
              <w:spacing w:before="0" w:after="283"/>
              <w:jc w:val="left"/>
              <w:rPr/>
            </w:pPr>
            <w:r>
              <w:rPr/>
              <w:t> </w:t>
            </w:r>
          </w:p>
        </w:tc>
        <w:tc>
          <w:tcPr>
            <w:tcW w:w="566"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1" w:type="dxa"/>
            <w:tcBorders/>
            <w:shd w:fill="CCEEFF" w:val="clear"/>
            <w:vAlign w:val="center"/>
          </w:tcPr>
          <w:p>
            <w:pPr>
              <w:pStyle w:val="TableContents"/>
              <w:bidi w:val="0"/>
              <w:spacing w:before="0" w:after="283"/>
              <w:jc w:val="left"/>
              <w:rPr/>
            </w:pPr>
            <w:r>
              <w:rPr/>
              <w:t> </w:t>
            </w:r>
          </w:p>
        </w:tc>
        <w:tc>
          <w:tcPr>
            <w:tcW w:w="564" w:type="dxa"/>
            <w:tcBorders/>
            <w:shd w:fill="CCEEFF" w:val="clear"/>
            <w:vAlign w:val="center"/>
          </w:tcPr>
          <w:p>
            <w:pPr>
              <w:pStyle w:val="TableContents"/>
              <w:bidi w:val="0"/>
              <w:spacing w:before="0" w:after="283"/>
              <w:jc w:val="left"/>
              <w:rPr/>
            </w:pPr>
            <w:r>
              <w:rPr/>
              <w:t> </w:t>
            </w:r>
          </w:p>
        </w:tc>
        <w:tc>
          <w:tcPr>
            <w:tcW w:w="245" w:type="dxa"/>
            <w:tcBorders/>
            <w:shd w:fill="CCEEFF" w:val="clear"/>
            <w:vAlign w:val="center"/>
          </w:tcPr>
          <w:p>
            <w:pPr>
              <w:pStyle w:val="TableContents"/>
              <w:bidi w:val="0"/>
              <w:spacing w:before="0" w:after="283"/>
              <w:jc w:val="left"/>
              <w:rPr/>
            </w:pPr>
            <w:r>
              <w:rPr/>
              <w:t> </w:t>
            </w:r>
          </w:p>
        </w:tc>
      </w:tr>
      <w:tr>
        <w:trPr/>
        <w:tc>
          <w:tcPr>
            <w:tcW w:w="3080" w:type="dxa"/>
            <w:tcBorders/>
            <w:shd w:fill="FFFF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Lease operating expense per BOE</w:t>
            </w:r>
          </w:p>
        </w:tc>
        <w:tc>
          <w:tcPr>
            <w:tcW w:w="60" w:type="dxa"/>
            <w:tcBorders/>
            <w:shd w:fill="FFFFFF" w:val="clear"/>
            <w:vAlign w:val="center"/>
          </w:tcPr>
          <w:p>
            <w:pPr>
              <w:pStyle w:val="TableContents"/>
              <w:bidi w:val="0"/>
              <w:spacing w:before="0" w:after="283"/>
              <w:ind w:left="0" w:right="0" w:hanging="0"/>
              <w:jc w:val="left"/>
              <w:rPr/>
            </w:pPr>
            <w:r>
              <w:rPr/>
              <w:t> </w:t>
            </w:r>
          </w:p>
        </w:tc>
        <w:tc>
          <w:tcPr>
            <w:tcW w:w="277" w:type="dxa"/>
            <w:tcBorders/>
            <w:shd w:fill="FFFF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1076"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29.36</w:t>
            </w:r>
          </w:p>
        </w:tc>
        <w:tc>
          <w:tcPr>
            <w:tcW w:w="133" w:type="dxa"/>
            <w:tcBorders/>
            <w:shd w:fill="FFFFFF" w:val="clear"/>
            <w:vAlign w:val="center"/>
          </w:tcPr>
          <w:p>
            <w:pPr>
              <w:pStyle w:val="TableContents"/>
              <w:bidi w:val="0"/>
              <w:spacing w:before="0" w:after="283"/>
              <w:jc w:val="left"/>
              <w:rPr/>
            </w:pPr>
            <w:r>
              <w:rPr/>
              <w:t> </w:t>
            </w:r>
          </w:p>
        </w:tc>
        <w:tc>
          <w:tcPr>
            <w:tcW w:w="133" w:type="dxa"/>
            <w:tcBorders/>
            <w:shd w:fill="FFFFFF" w:val="clear"/>
            <w:vAlign w:val="center"/>
          </w:tcPr>
          <w:p>
            <w:pPr>
              <w:pStyle w:val="TableContents"/>
              <w:bidi w:val="0"/>
              <w:spacing w:before="0" w:after="283"/>
              <w:ind w:left="0" w:right="0" w:hanging="0"/>
              <w:jc w:val="left"/>
              <w:rPr/>
            </w:pPr>
            <w:r>
              <w:rPr/>
              <w:t> </w:t>
            </w:r>
          </w:p>
        </w:tc>
        <w:tc>
          <w:tcPr>
            <w:tcW w:w="277" w:type="dxa"/>
            <w:tcBorders/>
            <w:shd w:fill="FFFF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1076"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28.95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9" w:type="dxa"/>
            <w:tcBorders/>
            <w:shd w:fill="FFFF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566"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0.41</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1" w:type="dxa"/>
            <w:tcBorders/>
            <w:shd w:fill="FFFFFF" w:val="clear"/>
            <w:vAlign w:val="center"/>
          </w:tcPr>
          <w:p>
            <w:pPr>
              <w:pStyle w:val="TableContents"/>
              <w:bidi w:val="0"/>
              <w:spacing w:before="0" w:after="283"/>
              <w:ind w:left="0" w:right="0" w:hanging="0"/>
              <w:jc w:val="left"/>
              <w:rPr/>
            </w:pPr>
            <w:r>
              <w:rPr/>
              <w:t> </w:t>
            </w:r>
          </w:p>
        </w:tc>
        <w:tc>
          <w:tcPr>
            <w:tcW w:w="564"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w:t>
            </w:r>
          </w:p>
        </w:tc>
        <w:tc>
          <w:tcPr>
            <w:tcW w:w="245"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r>
        <w:trPr/>
        <w:tc>
          <w:tcPr>
            <w:tcW w:w="30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77" w:type="dxa"/>
            <w:tcBorders/>
            <w:shd w:fill="CCEEFF" w:val="clear"/>
            <w:vAlign w:val="center"/>
          </w:tcPr>
          <w:p>
            <w:pPr>
              <w:pStyle w:val="TableContents"/>
              <w:bidi w:val="0"/>
              <w:spacing w:before="0" w:after="283"/>
              <w:jc w:val="left"/>
              <w:rPr/>
            </w:pPr>
            <w:r>
              <w:rPr/>
              <w:t> </w:t>
            </w:r>
          </w:p>
        </w:tc>
        <w:tc>
          <w:tcPr>
            <w:tcW w:w="1076" w:type="dxa"/>
            <w:tcBorders/>
            <w:shd w:fill="CCEEFF" w:val="clear"/>
            <w:vAlign w:val="center"/>
          </w:tcPr>
          <w:p>
            <w:pPr>
              <w:pStyle w:val="TableContents"/>
              <w:bidi w:val="0"/>
              <w:spacing w:before="0" w:after="283"/>
              <w:jc w:val="left"/>
              <w:rPr/>
            </w:pPr>
            <w:r>
              <w:rPr/>
              <w:t> </w:t>
            </w:r>
          </w:p>
        </w:tc>
        <w:tc>
          <w:tcPr>
            <w:tcW w:w="133" w:type="dxa"/>
            <w:tcBorders/>
            <w:shd w:fill="CCEEFF" w:val="clear"/>
            <w:vAlign w:val="center"/>
          </w:tcPr>
          <w:p>
            <w:pPr>
              <w:pStyle w:val="TableContents"/>
              <w:bidi w:val="0"/>
              <w:spacing w:before="0" w:after="283"/>
              <w:jc w:val="left"/>
              <w:rPr/>
            </w:pPr>
            <w:r>
              <w:rPr/>
              <w:t> </w:t>
            </w:r>
          </w:p>
        </w:tc>
        <w:tc>
          <w:tcPr>
            <w:tcW w:w="133" w:type="dxa"/>
            <w:tcBorders/>
            <w:shd w:fill="CCEEFF" w:val="clear"/>
            <w:vAlign w:val="center"/>
          </w:tcPr>
          <w:p>
            <w:pPr>
              <w:pStyle w:val="TableContents"/>
              <w:bidi w:val="0"/>
              <w:spacing w:before="0" w:after="283"/>
              <w:jc w:val="left"/>
              <w:rPr/>
            </w:pPr>
            <w:r>
              <w:rPr/>
              <w:t> </w:t>
            </w:r>
          </w:p>
        </w:tc>
        <w:tc>
          <w:tcPr>
            <w:tcW w:w="277" w:type="dxa"/>
            <w:tcBorders/>
            <w:shd w:fill="CCEEFF" w:val="clear"/>
            <w:vAlign w:val="center"/>
          </w:tcPr>
          <w:p>
            <w:pPr>
              <w:pStyle w:val="TableContents"/>
              <w:bidi w:val="0"/>
              <w:spacing w:before="0" w:after="283"/>
              <w:jc w:val="left"/>
              <w:rPr/>
            </w:pPr>
            <w:r>
              <w:rPr/>
              <w:t> </w:t>
            </w:r>
          </w:p>
        </w:tc>
        <w:tc>
          <w:tcPr>
            <w:tcW w:w="1076"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9" w:type="dxa"/>
            <w:tcBorders/>
            <w:shd w:fill="CCEEFF" w:val="clear"/>
            <w:vAlign w:val="center"/>
          </w:tcPr>
          <w:p>
            <w:pPr>
              <w:pStyle w:val="TableContents"/>
              <w:bidi w:val="0"/>
              <w:spacing w:before="0" w:after="283"/>
              <w:jc w:val="left"/>
              <w:rPr/>
            </w:pPr>
            <w:r>
              <w:rPr/>
              <w:t> </w:t>
            </w:r>
          </w:p>
        </w:tc>
        <w:tc>
          <w:tcPr>
            <w:tcW w:w="566"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1" w:type="dxa"/>
            <w:tcBorders/>
            <w:shd w:fill="CCEEFF" w:val="clear"/>
            <w:vAlign w:val="center"/>
          </w:tcPr>
          <w:p>
            <w:pPr>
              <w:pStyle w:val="TableContents"/>
              <w:bidi w:val="0"/>
              <w:spacing w:before="0" w:after="283"/>
              <w:jc w:val="left"/>
              <w:rPr/>
            </w:pPr>
            <w:r>
              <w:rPr/>
              <w:t> </w:t>
            </w:r>
          </w:p>
        </w:tc>
        <w:tc>
          <w:tcPr>
            <w:tcW w:w="564" w:type="dxa"/>
            <w:tcBorders/>
            <w:shd w:fill="CCEEFF" w:val="clear"/>
            <w:vAlign w:val="center"/>
          </w:tcPr>
          <w:p>
            <w:pPr>
              <w:pStyle w:val="TableContents"/>
              <w:bidi w:val="0"/>
              <w:spacing w:before="0" w:after="283"/>
              <w:jc w:val="left"/>
              <w:rPr/>
            </w:pPr>
            <w:r>
              <w:rPr/>
              <w:t> </w:t>
            </w:r>
          </w:p>
        </w:tc>
        <w:tc>
          <w:tcPr>
            <w:tcW w:w="24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For the three months ended September 30, 2025, lease operating expenses were $1.0 million or $29.36 per BOE. While lease operating expenses decreased by $2.0 million when compared to $3.1 million or $28.95 per BOE for the three months ended September 30, 2024, the cost on a BOE basis increased as the mix of properties changed because of the divestment of our Karnes County, East Texas, and Mid-con properties.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For the three months ended September 30, 2025, gathering, transportation, and treating expense decrease was attributable to the divestiture of properties that included gathering and transportation costs in the second half of 2024.</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For the three months ended September 30, 2025, production taxes consistently remain between 6% and 8% of revenue. This decrease in production taxes was attributable to the decrease in revenue of 65% discussed above.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shd w:fill="FFFFFF" w:val="clear"/>
        </w:rPr>
        <w:t>Exploration expense increased </w:t>
      </w:r>
      <w:r>
        <w:rPr>
          <w:rFonts w:ascii="Times New Roman" w:hAnsi="Times New Roman"/>
          <w:caps w:val="false"/>
          <w:smallCaps w:val="false"/>
          <w:sz w:val="20"/>
        </w:rPr>
        <w:t>$128 thousand</w:t>
      </w:r>
      <w:r>
        <w:rPr>
          <w:rFonts w:ascii="Times New Roman" w:hAnsi="Times New Roman"/>
          <w:caps w:val="false"/>
          <w:smallCaps w:val="false"/>
          <w:sz w:val="20"/>
          <w:shd w:fill="FFFFFF" w:val="clear"/>
        </w:rPr>
        <w:t>, which was attributable to an increase in exploration activities for our industrial gas development. </w:t>
      </w:r>
      <w:r>
        <w:rPr>
          <w:rFonts w:ascii="Times New Roman" w:hAnsi="Times New Roman"/>
          <w:caps w:val="false"/>
          <w:smallCaps w:val="false"/>
          <w:sz w:val="20"/>
        </w:rPr>
        <w:t>The Company revised the presentation of its statement of operations to separately disclose exploration expense, which was previously included in acquisition related costs in the second quarter. The reclassification was made to enhance comparability and provide greater transparency regarding exploration activities.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i/>
          <w:caps w:val="false"/>
          <w:smallCaps w:val="false"/>
          <w:sz w:val="20"/>
        </w:rPr>
        <w:t xml:space="preserve">Depreciation, Depletion and Amortization. </w:t>
      </w:r>
      <w:r>
        <w:rPr>
          <w:rFonts w:ascii="Times New Roman" w:hAnsi="Times New Roman"/>
          <w:caps w:val="false"/>
          <w:smallCaps w:val="false"/>
          <w:sz w:val="20"/>
        </w:rPr>
        <w:t>Our depreciation, depletion, and amortization (“DD&amp;A”) was $0.8 million and $2.0 million for the three months ended September 30, 2025 and 2024, respectively. Depletion expense on our oil and natural gas properties is the primary driver of DD&amp;A expense.  Our depletion rate was $14.19 per BOE and $14.94 per BOE for the three months ended September 30, 2025 and 2024, respectively. Our depletion rate can fluctuate modestly because of acquisitions, changes in drilling and completion costs, impairments, revisions in asset retirement obligation cost estimates or timing, divestitures, changes in the mix of our production, the underlying proved reserve volumes and estimated future development costs.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i/>
          <w:caps w:val="false"/>
          <w:smallCaps w:val="false"/>
          <w:sz w:val="20"/>
        </w:rPr>
        <w:t>Impairment of oil and natural gas properties</w:t>
      </w:r>
      <w:r>
        <w:rPr>
          <w:rFonts w:ascii="Times New Roman" w:hAnsi="Times New Roman"/>
          <w:caps w:val="false"/>
          <w:smallCaps w:val="false"/>
          <w:sz w:val="20"/>
        </w:rPr>
        <w:t>.  The Company recorded a $0.9 million ceiling test write down for the three months ended September 30, 2025, resulting from a reduction in commodity prices used in the full cost pool ceiling test from the second quarter. The Company recorded a $1.4 million ceiling test write-down of its oil and gas properties during the three months ended September 30, 2024, due to a reduction in the value of proved oil and natural gas reserves. The reduction was primarily due to lower commodity prices used in the full cost pool ceiling test, as well as reserves revisions related to wells shut-in during the first quarter of 2024 and updates to the decline curves for certain wells.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23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i/>
          <w:caps w:val="false"/>
          <w:smallCaps w:val="false"/>
          <w:sz w:val="20"/>
        </w:rPr>
        <w:t xml:space="preserve">General and Administrative Expenses. </w:t>
      </w:r>
      <w:r>
        <w:rPr>
          <w:rFonts w:ascii="Times New Roman" w:hAnsi="Times New Roman"/>
          <w:caps w:val="false"/>
          <w:smallCaps w:val="false"/>
          <w:sz w:val="20"/>
        </w:rPr>
        <w:t>Presented below is a comparison of our general and administrative expenses for the three months ended September 30, 2025 and 2024:</w:t>
      </w:r>
    </w:p>
    <w:p>
      <w:pPr>
        <w:pStyle w:val="TextBody"/>
        <w:bidi w:val="0"/>
        <w:spacing w:before="0" w:after="0"/>
        <w:ind w:left="0" w:right="0" w:hanging="0"/>
        <w:jc w:val="left"/>
        <w:rPr/>
      </w:pPr>
      <w:r>
        <w:rPr/>
        <w:t> </w:t>
      </w:r>
    </w:p>
    <w:tbl>
      <w:tblPr>
        <w:tblW w:w="8337" w:type="dxa"/>
        <w:jc w:val="left"/>
        <w:tblInd w:w="0" w:type="dxa"/>
        <w:tblLayout w:type="fixed"/>
        <w:tblCellMar>
          <w:top w:w="0" w:type="dxa"/>
          <w:left w:w="0" w:type="dxa"/>
          <w:bottom w:w="0" w:type="dxa"/>
          <w:right w:w="0" w:type="dxa"/>
        </w:tblCellMar>
      </w:tblPr>
      <w:tblGrid>
        <w:gridCol w:w="3440"/>
        <w:gridCol w:w="60"/>
        <w:gridCol w:w="277"/>
        <w:gridCol w:w="1076"/>
        <w:gridCol w:w="133"/>
        <w:gridCol w:w="133"/>
        <w:gridCol w:w="277"/>
        <w:gridCol w:w="1076"/>
        <w:gridCol w:w="60"/>
        <w:gridCol w:w="60"/>
        <w:gridCol w:w="167"/>
        <w:gridCol w:w="528"/>
        <w:gridCol w:w="80"/>
        <w:gridCol w:w="60"/>
        <w:gridCol w:w="87"/>
        <w:gridCol w:w="578"/>
        <w:gridCol w:w="245"/>
      </w:tblGrid>
      <w:tr>
        <w:trPr/>
        <w:tc>
          <w:tcPr>
            <w:tcW w:w="344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972"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Three months ended September 30,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500"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Change</w:t>
            </w:r>
          </w:p>
        </w:tc>
        <w:tc>
          <w:tcPr>
            <w:tcW w:w="245" w:type="dxa"/>
            <w:tcBorders/>
            <w:shd w:fill="FFFFFF" w:val="clear"/>
            <w:vAlign w:val="center"/>
          </w:tcPr>
          <w:p>
            <w:pPr>
              <w:pStyle w:val="TableContents"/>
              <w:bidi w:val="0"/>
              <w:spacing w:before="0" w:after="283"/>
              <w:jc w:val="left"/>
              <w:rPr/>
            </w:pPr>
            <w:r>
              <w:rPr/>
              <w:t> </w:t>
            </w:r>
          </w:p>
        </w:tc>
      </w:tr>
      <w:tr>
        <w:trPr/>
        <w:tc>
          <w:tcPr>
            <w:tcW w:w="344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353"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2025</w:t>
            </w:r>
          </w:p>
        </w:tc>
        <w:tc>
          <w:tcPr>
            <w:tcW w:w="133" w:type="dxa"/>
            <w:tcBorders/>
            <w:shd w:fill="FFFFFF" w:val="clear"/>
            <w:vAlign w:val="center"/>
          </w:tcPr>
          <w:p>
            <w:pPr>
              <w:pStyle w:val="TableContents"/>
              <w:bidi w:val="0"/>
              <w:spacing w:before="0" w:after="283"/>
              <w:jc w:val="left"/>
              <w:rPr/>
            </w:pPr>
            <w:r>
              <w:rPr/>
              <w:t> </w:t>
            </w:r>
          </w:p>
        </w:tc>
        <w:tc>
          <w:tcPr>
            <w:tcW w:w="133" w:type="dxa"/>
            <w:tcBorders/>
            <w:shd w:fill="FFFFFF" w:val="clear"/>
            <w:vAlign w:val="center"/>
          </w:tcPr>
          <w:p>
            <w:pPr>
              <w:pStyle w:val="TableContents"/>
              <w:bidi w:val="0"/>
              <w:spacing w:before="0" w:after="283"/>
              <w:ind w:left="0" w:right="0" w:hanging="0"/>
              <w:jc w:val="left"/>
              <w:rPr/>
            </w:pPr>
            <w:r>
              <w:rPr/>
              <w:t> </w:t>
            </w:r>
          </w:p>
        </w:tc>
        <w:tc>
          <w:tcPr>
            <w:tcW w:w="1353"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2024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69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Amount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66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Percent</w:t>
            </w:r>
          </w:p>
        </w:tc>
        <w:tc>
          <w:tcPr>
            <w:tcW w:w="245" w:type="dxa"/>
            <w:tcBorders/>
            <w:shd w:fill="FFFFFF" w:val="clear"/>
            <w:vAlign w:val="center"/>
          </w:tcPr>
          <w:p>
            <w:pPr>
              <w:pStyle w:val="TableContents"/>
              <w:bidi w:val="0"/>
              <w:spacing w:before="0" w:after="283"/>
              <w:jc w:val="left"/>
              <w:rPr/>
            </w:pPr>
            <w:r>
              <w:rPr/>
              <w:t> </w:t>
            </w:r>
          </w:p>
        </w:tc>
      </w:tr>
      <w:tr>
        <w:trPr/>
        <w:tc>
          <w:tcPr>
            <w:tcW w:w="344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4592" w:type="dxa"/>
            <w:gridSpan w:val="14"/>
            <w:tcBorders/>
            <w:shd w:fill="FFFFFF" w:val="cle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(in thousands)</w:t>
            </w:r>
          </w:p>
        </w:tc>
        <w:tc>
          <w:tcPr>
            <w:tcW w:w="245" w:type="dxa"/>
            <w:tcBorders/>
            <w:shd w:fill="FFFFFF" w:val="clear"/>
            <w:vAlign w:val="center"/>
          </w:tcPr>
          <w:p>
            <w:pPr>
              <w:pStyle w:val="TableContents"/>
              <w:bidi w:val="0"/>
              <w:spacing w:before="0" w:after="283"/>
              <w:jc w:val="left"/>
              <w:rPr/>
            </w:pPr>
            <w:r>
              <w:rPr/>
              <w:t> </w:t>
            </w:r>
          </w:p>
        </w:tc>
      </w:tr>
      <w:tr>
        <w:trPr/>
        <w:tc>
          <w:tcPr>
            <w:tcW w:w="3440"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Compensation and benefits</w:t>
            </w:r>
          </w:p>
        </w:tc>
        <w:tc>
          <w:tcPr>
            <w:tcW w:w="60" w:type="dxa"/>
            <w:tcBorders/>
            <w:shd w:fill="CCEEFF" w:val="clear"/>
            <w:vAlign w:val="center"/>
          </w:tcPr>
          <w:p>
            <w:pPr>
              <w:pStyle w:val="TableContents"/>
              <w:bidi w:val="0"/>
              <w:spacing w:before="0" w:after="283"/>
              <w:ind w:left="0" w:right="0" w:hanging="0"/>
              <w:jc w:val="left"/>
              <w:rPr/>
            </w:pPr>
            <w:r>
              <w:rPr/>
              <w:t> </w:t>
            </w:r>
          </w:p>
        </w:tc>
        <w:tc>
          <w:tcPr>
            <w:tcW w:w="277"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1076"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845</w:t>
            </w:r>
          </w:p>
        </w:tc>
        <w:tc>
          <w:tcPr>
            <w:tcW w:w="133" w:type="dxa"/>
            <w:tcBorders/>
            <w:shd w:fill="CCEEFF" w:val="clear"/>
            <w:vAlign w:val="center"/>
          </w:tcPr>
          <w:p>
            <w:pPr>
              <w:pStyle w:val="TableContents"/>
              <w:bidi w:val="0"/>
              <w:spacing w:before="0" w:after="283"/>
              <w:jc w:val="left"/>
              <w:rPr/>
            </w:pPr>
            <w:r>
              <w:rPr/>
              <w:t> </w:t>
            </w:r>
          </w:p>
        </w:tc>
        <w:tc>
          <w:tcPr>
            <w:tcW w:w="133" w:type="dxa"/>
            <w:tcBorders/>
            <w:shd w:fill="CCEEFF" w:val="clear"/>
            <w:vAlign w:val="center"/>
          </w:tcPr>
          <w:p>
            <w:pPr>
              <w:pStyle w:val="TableContents"/>
              <w:bidi w:val="0"/>
              <w:spacing w:before="0" w:after="283"/>
              <w:ind w:left="0" w:right="0" w:hanging="0"/>
              <w:jc w:val="left"/>
              <w:rPr/>
            </w:pPr>
            <w:r>
              <w:rPr/>
              <w:t> </w:t>
            </w:r>
          </w:p>
        </w:tc>
        <w:tc>
          <w:tcPr>
            <w:tcW w:w="277"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1076"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816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67"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528"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29</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 w:type="dxa"/>
            <w:tcBorders/>
            <w:shd w:fill="CCEEFF" w:val="clear"/>
            <w:vAlign w:val="center"/>
          </w:tcPr>
          <w:p>
            <w:pPr>
              <w:pStyle w:val="TableContents"/>
              <w:bidi w:val="0"/>
              <w:spacing w:before="0" w:after="283"/>
              <w:ind w:left="0" w:right="0" w:hanging="0"/>
              <w:jc w:val="left"/>
              <w:rPr/>
            </w:pPr>
            <w:r>
              <w:rPr/>
              <w:t> </w:t>
            </w:r>
          </w:p>
        </w:tc>
        <w:tc>
          <w:tcPr>
            <w:tcW w:w="578"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w:t>
            </w:r>
          </w:p>
        </w:tc>
        <w:tc>
          <w:tcPr>
            <w:tcW w:w="245"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r>
        <w:trPr/>
        <w:tc>
          <w:tcPr>
            <w:tcW w:w="3440"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Stock-based compensation</w:t>
            </w:r>
          </w:p>
        </w:tc>
        <w:tc>
          <w:tcPr>
            <w:tcW w:w="60" w:type="dxa"/>
            <w:tcBorders/>
            <w:shd w:fill="FFFFFF" w:val="clear"/>
            <w:vAlign w:val="center"/>
          </w:tcPr>
          <w:p>
            <w:pPr>
              <w:pStyle w:val="TableContents"/>
              <w:bidi w:val="0"/>
              <w:spacing w:before="0" w:after="283"/>
              <w:jc w:val="left"/>
              <w:rPr/>
            </w:pPr>
            <w:r>
              <w:rPr/>
              <w:t> </w:t>
            </w:r>
          </w:p>
        </w:tc>
        <w:tc>
          <w:tcPr>
            <w:tcW w:w="277" w:type="dxa"/>
            <w:tcBorders/>
            <w:shd w:fill="FFFFFF" w:val="clear"/>
            <w:vAlign w:val="center"/>
          </w:tcPr>
          <w:p>
            <w:pPr>
              <w:pStyle w:val="TableContents"/>
              <w:bidi w:val="0"/>
              <w:spacing w:before="0" w:after="283"/>
              <w:ind w:left="0" w:right="0" w:hanging="0"/>
              <w:jc w:val="left"/>
              <w:rPr/>
            </w:pPr>
            <w:r>
              <w:rPr/>
              <w:t> </w:t>
            </w:r>
          </w:p>
        </w:tc>
        <w:tc>
          <w:tcPr>
            <w:tcW w:w="1076"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420</w:t>
            </w:r>
          </w:p>
        </w:tc>
        <w:tc>
          <w:tcPr>
            <w:tcW w:w="133" w:type="dxa"/>
            <w:tcBorders/>
            <w:shd w:fill="FFFFFF" w:val="clear"/>
            <w:vAlign w:val="center"/>
          </w:tcPr>
          <w:p>
            <w:pPr>
              <w:pStyle w:val="TableContents"/>
              <w:bidi w:val="0"/>
              <w:spacing w:before="0" w:after="283"/>
              <w:jc w:val="left"/>
              <w:rPr/>
            </w:pPr>
            <w:r>
              <w:rPr/>
              <w:t> </w:t>
            </w:r>
          </w:p>
        </w:tc>
        <w:tc>
          <w:tcPr>
            <w:tcW w:w="133" w:type="dxa"/>
            <w:tcBorders/>
            <w:shd w:fill="FFFFFF" w:val="clear"/>
            <w:vAlign w:val="center"/>
          </w:tcPr>
          <w:p>
            <w:pPr>
              <w:pStyle w:val="TableContents"/>
              <w:bidi w:val="0"/>
              <w:spacing w:before="0" w:after="283"/>
              <w:jc w:val="left"/>
              <w:rPr/>
            </w:pPr>
            <w:r>
              <w:rPr/>
              <w:t> </w:t>
            </w:r>
          </w:p>
        </w:tc>
        <w:tc>
          <w:tcPr>
            <w:tcW w:w="277" w:type="dxa"/>
            <w:tcBorders/>
            <w:shd w:fill="FFFFFF" w:val="clear"/>
            <w:vAlign w:val="center"/>
          </w:tcPr>
          <w:p>
            <w:pPr>
              <w:pStyle w:val="TableContents"/>
              <w:bidi w:val="0"/>
              <w:spacing w:before="0" w:after="283"/>
              <w:ind w:left="0" w:right="0" w:hanging="0"/>
              <w:jc w:val="left"/>
              <w:rPr/>
            </w:pPr>
            <w:r>
              <w:rPr/>
              <w:t> </w:t>
            </w:r>
          </w:p>
        </w:tc>
        <w:tc>
          <w:tcPr>
            <w:tcW w:w="1076"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274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7" w:type="dxa"/>
            <w:tcBorders/>
            <w:shd w:fill="FFFFFF" w:val="clear"/>
            <w:vAlign w:val="center"/>
          </w:tcPr>
          <w:p>
            <w:pPr>
              <w:pStyle w:val="TableContents"/>
              <w:bidi w:val="0"/>
              <w:spacing w:before="0" w:after="283"/>
              <w:ind w:left="0" w:right="0" w:hanging="0"/>
              <w:jc w:val="left"/>
              <w:rPr/>
            </w:pPr>
            <w:r>
              <w:rPr/>
              <w:t> </w:t>
            </w:r>
          </w:p>
        </w:tc>
        <w:tc>
          <w:tcPr>
            <w:tcW w:w="528"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146</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7" w:type="dxa"/>
            <w:tcBorders/>
            <w:shd w:fill="FFFFFF" w:val="clear"/>
            <w:vAlign w:val="center"/>
          </w:tcPr>
          <w:p>
            <w:pPr>
              <w:pStyle w:val="TableContents"/>
              <w:bidi w:val="0"/>
              <w:spacing w:before="0" w:after="283"/>
              <w:ind w:left="0" w:right="0" w:hanging="0"/>
              <w:jc w:val="left"/>
              <w:rPr/>
            </w:pPr>
            <w:r>
              <w:rPr/>
              <w:t> </w:t>
            </w:r>
          </w:p>
        </w:tc>
        <w:tc>
          <w:tcPr>
            <w:tcW w:w="578"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53</w:t>
            </w:r>
          </w:p>
        </w:tc>
        <w:tc>
          <w:tcPr>
            <w:tcW w:w="245"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r>
        <w:trPr/>
        <w:tc>
          <w:tcPr>
            <w:tcW w:w="3440"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Professional fees, insurance and other</w:t>
            </w:r>
          </w:p>
        </w:tc>
        <w:tc>
          <w:tcPr>
            <w:tcW w:w="60" w:type="dxa"/>
            <w:tcBorders/>
            <w:shd w:fill="CCEEFF" w:val="clear"/>
            <w:vAlign w:val="center"/>
          </w:tcPr>
          <w:p>
            <w:pPr>
              <w:pStyle w:val="TableContents"/>
              <w:bidi w:val="0"/>
              <w:spacing w:before="0" w:after="283"/>
              <w:jc w:val="left"/>
              <w:rPr/>
            </w:pPr>
            <w:r>
              <w:rPr/>
              <w:t> </w:t>
            </w:r>
          </w:p>
        </w:tc>
        <w:tc>
          <w:tcPr>
            <w:tcW w:w="277" w:type="dxa"/>
            <w:tcBorders/>
            <w:shd w:fill="CCEEFF" w:val="clear"/>
            <w:vAlign w:val="center"/>
          </w:tcPr>
          <w:p>
            <w:pPr>
              <w:pStyle w:val="TableContents"/>
              <w:bidi w:val="0"/>
              <w:spacing w:before="0" w:after="283"/>
              <w:ind w:left="0" w:right="0" w:hanging="0"/>
              <w:jc w:val="left"/>
              <w:rPr/>
            </w:pPr>
            <w:r>
              <w:rPr/>
              <w:t> </w:t>
            </w:r>
          </w:p>
        </w:tc>
        <w:tc>
          <w:tcPr>
            <w:tcW w:w="1076"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848</w:t>
            </w:r>
          </w:p>
        </w:tc>
        <w:tc>
          <w:tcPr>
            <w:tcW w:w="133" w:type="dxa"/>
            <w:tcBorders/>
            <w:shd w:fill="CCEEFF" w:val="clear"/>
            <w:vAlign w:val="center"/>
          </w:tcPr>
          <w:p>
            <w:pPr>
              <w:pStyle w:val="TableContents"/>
              <w:bidi w:val="0"/>
              <w:spacing w:before="0" w:after="283"/>
              <w:jc w:val="left"/>
              <w:rPr/>
            </w:pPr>
            <w:r>
              <w:rPr/>
              <w:t> </w:t>
            </w:r>
          </w:p>
        </w:tc>
        <w:tc>
          <w:tcPr>
            <w:tcW w:w="133" w:type="dxa"/>
            <w:tcBorders/>
            <w:shd w:fill="CCEEFF" w:val="clear"/>
            <w:vAlign w:val="center"/>
          </w:tcPr>
          <w:p>
            <w:pPr>
              <w:pStyle w:val="TableContents"/>
              <w:bidi w:val="0"/>
              <w:spacing w:before="0" w:after="283"/>
              <w:jc w:val="left"/>
              <w:rPr/>
            </w:pPr>
            <w:r>
              <w:rPr/>
              <w:t> </w:t>
            </w:r>
          </w:p>
        </w:tc>
        <w:tc>
          <w:tcPr>
            <w:tcW w:w="277" w:type="dxa"/>
            <w:tcBorders/>
            <w:shd w:fill="CCEEFF" w:val="clear"/>
            <w:vAlign w:val="center"/>
          </w:tcPr>
          <w:p>
            <w:pPr>
              <w:pStyle w:val="TableContents"/>
              <w:bidi w:val="0"/>
              <w:spacing w:before="0" w:after="283"/>
              <w:ind w:left="0" w:right="0" w:hanging="0"/>
              <w:jc w:val="left"/>
              <w:rPr/>
            </w:pPr>
            <w:r>
              <w:rPr/>
              <w:t> </w:t>
            </w:r>
          </w:p>
        </w:tc>
        <w:tc>
          <w:tcPr>
            <w:tcW w:w="1076"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794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7" w:type="dxa"/>
            <w:tcBorders/>
            <w:shd w:fill="CCEEFF" w:val="clear"/>
            <w:vAlign w:val="center"/>
          </w:tcPr>
          <w:p>
            <w:pPr>
              <w:pStyle w:val="TableContents"/>
              <w:bidi w:val="0"/>
              <w:spacing w:before="0" w:after="283"/>
              <w:ind w:left="0" w:right="0" w:hanging="0"/>
              <w:jc w:val="left"/>
              <w:rPr/>
            </w:pPr>
            <w:r>
              <w:rPr/>
              <w:t> </w:t>
            </w:r>
          </w:p>
        </w:tc>
        <w:tc>
          <w:tcPr>
            <w:tcW w:w="528"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54</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 w:type="dxa"/>
            <w:tcBorders/>
            <w:shd w:fill="CCEEFF" w:val="clear"/>
            <w:vAlign w:val="center"/>
          </w:tcPr>
          <w:p>
            <w:pPr>
              <w:pStyle w:val="TableContents"/>
              <w:bidi w:val="0"/>
              <w:spacing w:before="0" w:after="283"/>
              <w:ind w:left="0" w:right="0" w:hanging="0"/>
              <w:jc w:val="left"/>
              <w:rPr/>
            </w:pPr>
            <w:r>
              <w:rPr/>
              <w:t> </w:t>
            </w:r>
          </w:p>
        </w:tc>
        <w:tc>
          <w:tcPr>
            <w:tcW w:w="578"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7</w:t>
            </w:r>
          </w:p>
        </w:tc>
        <w:tc>
          <w:tcPr>
            <w:tcW w:w="245"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r>
        <w:trPr/>
        <w:tc>
          <w:tcPr>
            <w:tcW w:w="3440"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Acquisition related costs</w:t>
            </w:r>
          </w:p>
        </w:tc>
        <w:tc>
          <w:tcPr>
            <w:tcW w:w="60" w:type="dxa"/>
            <w:tcBorders/>
            <w:shd w:fill="FFFFFF" w:val="clear"/>
            <w:vAlign w:val="center"/>
          </w:tcPr>
          <w:p>
            <w:pPr>
              <w:pStyle w:val="TableContents"/>
              <w:bidi w:val="0"/>
              <w:spacing w:before="0" w:after="283"/>
              <w:ind w:left="0" w:right="0" w:hanging="0"/>
              <w:jc w:val="left"/>
              <w:rPr/>
            </w:pPr>
            <w:r>
              <w:rPr/>
              <w:t> </w:t>
            </w:r>
          </w:p>
        </w:tc>
        <w:tc>
          <w:tcPr>
            <w:tcW w:w="277"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1076" w:type="dxa"/>
            <w:tcBorders>
              <w:bottom w:val="single" w:sz="2" w:space="0" w:color="000000"/>
            </w:tcBorders>
            <w:shd w:fill="FFFFFF" w:val="clear"/>
            <w:tcMar>
              <w:bottom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w:t>
            </w:r>
          </w:p>
        </w:tc>
        <w:tc>
          <w:tcPr>
            <w:tcW w:w="133" w:type="dxa"/>
            <w:tcBorders/>
            <w:shd w:fill="FFFFFF" w:val="clear"/>
            <w:vAlign w:val="center"/>
          </w:tcPr>
          <w:p>
            <w:pPr>
              <w:pStyle w:val="TableContents"/>
              <w:bidi w:val="0"/>
              <w:spacing w:before="0" w:after="283"/>
              <w:jc w:val="left"/>
              <w:rPr/>
            </w:pPr>
            <w:r>
              <w:rPr/>
              <w:t> </w:t>
            </w:r>
          </w:p>
        </w:tc>
        <w:tc>
          <w:tcPr>
            <w:tcW w:w="133" w:type="dxa"/>
            <w:tcBorders/>
            <w:shd w:fill="FFFFFF" w:val="clear"/>
            <w:vAlign w:val="center"/>
          </w:tcPr>
          <w:p>
            <w:pPr>
              <w:pStyle w:val="TableContents"/>
              <w:bidi w:val="0"/>
              <w:spacing w:before="0" w:after="283"/>
              <w:ind w:left="0" w:right="0" w:hanging="0"/>
              <w:jc w:val="left"/>
              <w:rPr/>
            </w:pPr>
            <w:r>
              <w:rPr/>
              <w:t> </w:t>
            </w:r>
          </w:p>
        </w:tc>
        <w:tc>
          <w:tcPr>
            <w:tcW w:w="277"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1076" w:type="dxa"/>
            <w:tcBorders>
              <w:bottom w:val="single" w:sz="2" w:space="0" w:color="000000"/>
            </w:tcBorders>
            <w:shd w:fill="FFFFFF" w:val="clear"/>
            <w:tcMar>
              <w:bottom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368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67"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528"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(368</w:t>
            </w:r>
          </w:p>
        </w:tc>
        <w:tc>
          <w:tcPr>
            <w:tcW w:w="80" w:type="dxa"/>
            <w:tcBorders/>
            <w:shd w:fill="FFFFFF" w:val="clear"/>
            <w:vAlign w:val="center"/>
          </w:tcPr>
          <w:p>
            <w:pPr>
              <w:pStyle w:val="TableContents"/>
              <w:bidi w:val="0"/>
              <w:spacing w:before="0" w:after="0"/>
              <w:jc w:val="left"/>
              <w:rPr>
                <w:rFonts w:ascii="Times New Roman" w:hAnsi="Times New Roman"/>
                <w:sz w:val="20"/>
              </w:rPr>
            </w:pPr>
            <w:r>
              <w:rPr>
                <w:rFonts w:ascii="Times New Roman" w:hAnsi="Times New Roman"/>
                <w:sz w:val="20"/>
              </w:rPr>
              <w:t>)</w:t>
            </w:r>
          </w:p>
        </w:tc>
        <w:tc>
          <w:tcPr>
            <w:tcW w:w="60" w:type="dxa"/>
            <w:tcBorders/>
            <w:shd w:fill="FFFFFF" w:val="clear"/>
            <w:vAlign w:val="center"/>
          </w:tcPr>
          <w:p>
            <w:pPr>
              <w:pStyle w:val="TableContents"/>
              <w:bidi w:val="0"/>
              <w:spacing w:before="0" w:after="283"/>
              <w:ind w:left="0" w:right="0" w:hanging="0"/>
              <w:jc w:val="left"/>
              <w:rPr/>
            </w:pPr>
            <w:r>
              <w:rPr/>
              <w:t> </w:t>
            </w:r>
          </w:p>
        </w:tc>
        <w:tc>
          <w:tcPr>
            <w:tcW w:w="87"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578" w:type="dxa"/>
            <w:tcBorders>
              <w:bottom w:val="single" w:sz="2" w:space="0" w:color="000000"/>
            </w:tcBorders>
            <w:shd w:fill="FFFFFF" w:val="clear"/>
            <w:tcMar>
              <w:bottom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(100</w:t>
            </w:r>
          </w:p>
        </w:tc>
        <w:tc>
          <w:tcPr>
            <w:tcW w:w="245"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r>
        <w:trPr/>
        <w:tc>
          <w:tcPr>
            <w:tcW w:w="344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77" w:type="dxa"/>
            <w:tcBorders/>
            <w:shd w:fill="CCEEFF" w:val="clear"/>
            <w:vAlign w:val="center"/>
          </w:tcPr>
          <w:p>
            <w:pPr>
              <w:pStyle w:val="TableContents"/>
              <w:bidi w:val="0"/>
              <w:spacing w:before="0" w:after="283"/>
              <w:jc w:val="left"/>
              <w:rPr/>
            </w:pPr>
            <w:r>
              <w:rPr/>
              <w:t> </w:t>
            </w:r>
          </w:p>
        </w:tc>
        <w:tc>
          <w:tcPr>
            <w:tcW w:w="1076" w:type="dxa"/>
            <w:tcBorders/>
            <w:shd w:fill="CCEEFF" w:val="clear"/>
            <w:vAlign w:val="center"/>
          </w:tcPr>
          <w:p>
            <w:pPr>
              <w:pStyle w:val="TableContents"/>
              <w:bidi w:val="0"/>
              <w:spacing w:before="0" w:after="283"/>
              <w:jc w:val="left"/>
              <w:rPr/>
            </w:pPr>
            <w:r>
              <w:rPr/>
              <w:t> </w:t>
            </w:r>
          </w:p>
        </w:tc>
        <w:tc>
          <w:tcPr>
            <w:tcW w:w="133" w:type="dxa"/>
            <w:tcBorders/>
            <w:shd w:fill="CCEEFF" w:val="clear"/>
            <w:vAlign w:val="center"/>
          </w:tcPr>
          <w:p>
            <w:pPr>
              <w:pStyle w:val="TableContents"/>
              <w:bidi w:val="0"/>
              <w:spacing w:before="0" w:after="283"/>
              <w:jc w:val="left"/>
              <w:rPr/>
            </w:pPr>
            <w:r>
              <w:rPr/>
              <w:t> </w:t>
            </w:r>
          </w:p>
        </w:tc>
        <w:tc>
          <w:tcPr>
            <w:tcW w:w="133" w:type="dxa"/>
            <w:tcBorders/>
            <w:shd w:fill="CCEEFF" w:val="clear"/>
            <w:vAlign w:val="center"/>
          </w:tcPr>
          <w:p>
            <w:pPr>
              <w:pStyle w:val="TableContents"/>
              <w:bidi w:val="0"/>
              <w:spacing w:before="0" w:after="283"/>
              <w:jc w:val="left"/>
              <w:rPr/>
            </w:pPr>
            <w:r>
              <w:rPr/>
              <w:t> </w:t>
            </w:r>
          </w:p>
        </w:tc>
        <w:tc>
          <w:tcPr>
            <w:tcW w:w="277" w:type="dxa"/>
            <w:tcBorders/>
            <w:shd w:fill="CCEEFF" w:val="clear"/>
            <w:vAlign w:val="center"/>
          </w:tcPr>
          <w:p>
            <w:pPr>
              <w:pStyle w:val="TableContents"/>
              <w:bidi w:val="0"/>
              <w:spacing w:before="0" w:after="283"/>
              <w:jc w:val="left"/>
              <w:rPr/>
            </w:pPr>
            <w:r>
              <w:rPr/>
              <w:t> </w:t>
            </w:r>
          </w:p>
        </w:tc>
        <w:tc>
          <w:tcPr>
            <w:tcW w:w="1076"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7" w:type="dxa"/>
            <w:tcBorders/>
            <w:shd w:fill="CCEEFF" w:val="clear"/>
            <w:vAlign w:val="center"/>
          </w:tcPr>
          <w:p>
            <w:pPr>
              <w:pStyle w:val="TableContents"/>
              <w:bidi w:val="0"/>
              <w:spacing w:before="0" w:after="283"/>
              <w:jc w:val="left"/>
              <w:rPr/>
            </w:pPr>
            <w:r>
              <w:rPr/>
              <w:t> </w:t>
            </w:r>
          </w:p>
        </w:tc>
        <w:tc>
          <w:tcPr>
            <w:tcW w:w="528"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 w:type="dxa"/>
            <w:tcBorders/>
            <w:shd w:fill="CCEEFF" w:val="clear"/>
            <w:vAlign w:val="center"/>
          </w:tcPr>
          <w:p>
            <w:pPr>
              <w:pStyle w:val="TableContents"/>
              <w:bidi w:val="0"/>
              <w:spacing w:before="0" w:after="283"/>
              <w:jc w:val="left"/>
              <w:rPr/>
            </w:pPr>
            <w:r>
              <w:rPr/>
              <w:t> </w:t>
            </w:r>
          </w:p>
        </w:tc>
        <w:tc>
          <w:tcPr>
            <w:tcW w:w="578" w:type="dxa"/>
            <w:tcBorders/>
            <w:shd w:fill="CCEEFF" w:val="clear"/>
            <w:vAlign w:val="center"/>
          </w:tcPr>
          <w:p>
            <w:pPr>
              <w:pStyle w:val="TableContents"/>
              <w:bidi w:val="0"/>
              <w:spacing w:before="0" w:after="283"/>
              <w:jc w:val="left"/>
              <w:rPr/>
            </w:pPr>
            <w:r>
              <w:rPr/>
              <w:t> </w:t>
            </w:r>
          </w:p>
        </w:tc>
        <w:tc>
          <w:tcPr>
            <w:tcW w:w="245" w:type="dxa"/>
            <w:tcBorders/>
            <w:shd w:fill="CCEEFF" w:val="clear"/>
            <w:vAlign w:val="center"/>
          </w:tcPr>
          <w:p>
            <w:pPr>
              <w:pStyle w:val="TableContents"/>
              <w:bidi w:val="0"/>
              <w:spacing w:before="0" w:after="283"/>
              <w:jc w:val="left"/>
              <w:rPr/>
            </w:pPr>
            <w:r>
              <w:rPr/>
              <w:t> </w:t>
            </w:r>
          </w:p>
        </w:tc>
      </w:tr>
      <w:tr>
        <w:trPr/>
        <w:tc>
          <w:tcPr>
            <w:tcW w:w="3440" w:type="dxa"/>
            <w:tcBorders/>
            <w:shd w:fill="FFFF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Total general and administrative expenses</w:t>
            </w:r>
          </w:p>
        </w:tc>
        <w:tc>
          <w:tcPr>
            <w:tcW w:w="60" w:type="dxa"/>
            <w:tcBorders/>
            <w:shd w:fill="FFFFFF" w:val="clear"/>
            <w:vAlign w:val="center"/>
          </w:tcPr>
          <w:p>
            <w:pPr>
              <w:pStyle w:val="TableContents"/>
              <w:bidi w:val="0"/>
              <w:spacing w:before="0" w:after="283"/>
              <w:ind w:left="0" w:right="0" w:hanging="0"/>
              <w:jc w:val="left"/>
              <w:rPr/>
            </w:pPr>
            <w:r>
              <w:rPr/>
              <w:t> </w:t>
            </w:r>
          </w:p>
        </w:tc>
        <w:tc>
          <w:tcPr>
            <w:tcW w:w="277"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1076"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2,113</w:t>
            </w:r>
          </w:p>
        </w:tc>
        <w:tc>
          <w:tcPr>
            <w:tcW w:w="133" w:type="dxa"/>
            <w:tcBorders/>
            <w:shd w:fill="FFFFFF" w:val="clear"/>
            <w:vAlign w:val="center"/>
          </w:tcPr>
          <w:p>
            <w:pPr>
              <w:pStyle w:val="TableContents"/>
              <w:bidi w:val="0"/>
              <w:spacing w:before="0" w:after="283"/>
              <w:jc w:val="left"/>
              <w:rPr/>
            </w:pPr>
            <w:r>
              <w:rPr/>
              <w:t> </w:t>
            </w:r>
          </w:p>
        </w:tc>
        <w:tc>
          <w:tcPr>
            <w:tcW w:w="133" w:type="dxa"/>
            <w:tcBorders/>
            <w:shd w:fill="FFFFFF" w:val="clear"/>
            <w:vAlign w:val="center"/>
          </w:tcPr>
          <w:p>
            <w:pPr>
              <w:pStyle w:val="TableContents"/>
              <w:bidi w:val="0"/>
              <w:spacing w:before="0" w:after="283"/>
              <w:ind w:left="0" w:right="0" w:hanging="0"/>
              <w:jc w:val="left"/>
              <w:rPr/>
            </w:pPr>
            <w:r>
              <w:rPr/>
              <w:t> </w:t>
            </w:r>
          </w:p>
        </w:tc>
        <w:tc>
          <w:tcPr>
            <w:tcW w:w="277"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1076"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2,252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67"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528"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(139</w:t>
            </w:r>
          </w:p>
        </w:tc>
        <w:tc>
          <w:tcPr>
            <w:tcW w:w="80"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FFFFFF" w:val="clear"/>
            <w:vAlign w:val="center"/>
          </w:tcPr>
          <w:p>
            <w:pPr>
              <w:pStyle w:val="TableContents"/>
              <w:bidi w:val="0"/>
              <w:spacing w:before="0" w:after="283"/>
              <w:jc w:val="left"/>
              <w:rPr/>
            </w:pPr>
            <w:r>
              <w:rPr/>
              <w:t> </w:t>
            </w:r>
          </w:p>
        </w:tc>
        <w:tc>
          <w:tcPr>
            <w:tcW w:w="87"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578"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(6</w:t>
            </w:r>
          </w:p>
        </w:tc>
        <w:tc>
          <w:tcPr>
            <w:tcW w:w="245"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General and administrative expenses decreased by $0.1 million for the three months ended September 30, 2025 as compared to the prior year period. The decrease was primarily attributable to a reduction in acquisition-related costs offset by increases in legal and professional fees, outsourcing of our accounting function compensation, and stock-based compensation. Stock-based compensation was higher because of the value of the restricted stock awards being amortized for the three months ended September 30, 2025, than those being amortized during the three months ended September 30, 2024.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i/>
          <w:caps w:val="false"/>
          <w:smallCaps w:val="false"/>
          <w:sz w:val="20"/>
        </w:rPr>
        <w:t>Other Income (Expense).</w:t>
      </w:r>
      <w:r>
        <w:rPr>
          <w:rFonts w:ascii="Times New Roman" w:hAnsi="Times New Roman"/>
          <w:caps w:val="false"/>
          <w:smallCaps w:val="false"/>
          <w:sz w:val="20"/>
        </w:rPr>
        <w:t xml:space="preserve"> Presented below is a comparison of our other income (expense) for the three months ended September 30, 2025 and 2024:</w:t>
      </w:r>
    </w:p>
    <w:p>
      <w:pPr>
        <w:pStyle w:val="TextBody"/>
        <w:bidi w:val="0"/>
        <w:spacing w:before="0" w:after="0"/>
        <w:ind w:left="0" w:right="0" w:hanging="0"/>
        <w:jc w:val="left"/>
        <w:rPr>
          <w:caps w:val="false"/>
          <w:smallCaps w:val="false"/>
        </w:rPr>
      </w:pPr>
      <w:r>
        <w:rPr>
          <w:caps w:val="false"/>
          <w:smallCaps w:val="false"/>
        </w:rPr>
        <w:t> </w:t>
      </w:r>
    </w:p>
    <w:tbl>
      <w:tblPr>
        <w:tblW w:w="8012" w:type="dxa"/>
        <w:jc w:val="left"/>
        <w:tblInd w:w="0" w:type="dxa"/>
        <w:tblLayout w:type="fixed"/>
        <w:tblCellMar>
          <w:top w:w="0" w:type="dxa"/>
          <w:left w:w="0" w:type="dxa"/>
          <w:bottom w:w="0" w:type="dxa"/>
          <w:right w:w="0" w:type="dxa"/>
        </w:tblCellMar>
      </w:tblPr>
      <w:tblGrid>
        <w:gridCol w:w="3095"/>
        <w:gridCol w:w="60"/>
        <w:gridCol w:w="307"/>
        <w:gridCol w:w="823"/>
        <w:gridCol w:w="196"/>
        <w:gridCol w:w="147"/>
        <w:gridCol w:w="307"/>
        <w:gridCol w:w="1192"/>
        <w:gridCol w:w="80"/>
        <w:gridCol w:w="60"/>
        <w:gridCol w:w="129"/>
        <w:gridCol w:w="566"/>
        <w:gridCol w:w="80"/>
        <w:gridCol w:w="60"/>
        <w:gridCol w:w="87"/>
        <w:gridCol w:w="578"/>
        <w:gridCol w:w="245"/>
      </w:tblGrid>
      <w:tr>
        <w:trPr/>
        <w:tc>
          <w:tcPr>
            <w:tcW w:w="30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972"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Three months ended September 30,</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500"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Change</w:t>
            </w:r>
          </w:p>
        </w:tc>
        <w:tc>
          <w:tcPr>
            <w:tcW w:w="245" w:type="dxa"/>
            <w:tcBorders/>
            <w:shd w:fill="FFFFFF" w:val="clear"/>
            <w:vAlign w:val="center"/>
          </w:tcPr>
          <w:p>
            <w:pPr>
              <w:pStyle w:val="TableContents"/>
              <w:bidi w:val="0"/>
              <w:spacing w:before="0" w:after="283"/>
              <w:jc w:val="left"/>
              <w:rPr/>
            </w:pPr>
            <w:r>
              <w:rPr/>
              <w:t> </w:t>
            </w:r>
          </w:p>
        </w:tc>
      </w:tr>
      <w:tr>
        <w:trPr/>
        <w:tc>
          <w:tcPr>
            <w:tcW w:w="30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3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2025</w:t>
            </w:r>
          </w:p>
        </w:tc>
        <w:tc>
          <w:tcPr>
            <w:tcW w:w="196" w:type="dxa"/>
            <w:tcBorders/>
            <w:shd w:fill="FFFFFF" w:val="clear"/>
            <w:vAlign w:val="center"/>
          </w:tcPr>
          <w:p>
            <w:pPr>
              <w:pStyle w:val="TableContents"/>
              <w:bidi w:val="0"/>
              <w:spacing w:before="0" w:after="283"/>
              <w:jc w:val="left"/>
              <w:rPr/>
            </w:pPr>
            <w:r>
              <w:rPr/>
              <w:t> </w:t>
            </w:r>
          </w:p>
        </w:tc>
        <w:tc>
          <w:tcPr>
            <w:tcW w:w="147" w:type="dxa"/>
            <w:tcBorders/>
            <w:shd w:fill="FFFFFF" w:val="clear"/>
            <w:vAlign w:val="center"/>
          </w:tcPr>
          <w:p>
            <w:pPr>
              <w:pStyle w:val="TableContents"/>
              <w:bidi w:val="0"/>
              <w:spacing w:before="0" w:after="283"/>
              <w:ind w:left="0" w:right="0" w:hanging="0"/>
              <w:jc w:val="left"/>
              <w:rPr/>
            </w:pPr>
            <w:r>
              <w:rPr/>
              <w:t> </w:t>
            </w:r>
          </w:p>
        </w:tc>
        <w:tc>
          <w:tcPr>
            <w:tcW w:w="1499"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2024</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69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Amount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66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Percent</w:t>
            </w:r>
          </w:p>
        </w:tc>
        <w:tc>
          <w:tcPr>
            <w:tcW w:w="245" w:type="dxa"/>
            <w:tcBorders/>
            <w:shd w:fill="FFFFFF" w:val="clear"/>
            <w:vAlign w:val="center"/>
          </w:tcPr>
          <w:p>
            <w:pPr>
              <w:pStyle w:val="TableContents"/>
              <w:bidi w:val="0"/>
              <w:spacing w:before="0" w:after="283"/>
              <w:jc w:val="left"/>
              <w:rPr/>
            </w:pPr>
            <w:r>
              <w:rPr/>
              <w:t> </w:t>
            </w:r>
          </w:p>
        </w:tc>
      </w:tr>
      <w:tr>
        <w:trPr/>
        <w:tc>
          <w:tcPr>
            <w:tcW w:w="30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4612" w:type="dxa"/>
            <w:gridSpan w:val="14"/>
            <w:tcBorders/>
            <w:shd w:fill="FFFFFF" w:val="cle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(in thousands)</w:t>
            </w:r>
          </w:p>
        </w:tc>
        <w:tc>
          <w:tcPr>
            <w:tcW w:w="245" w:type="dxa"/>
            <w:tcBorders/>
            <w:shd w:fill="FFFFFF" w:val="clear"/>
            <w:vAlign w:val="center"/>
          </w:tcPr>
          <w:p>
            <w:pPr>
              <w:pStyle w:val="TableContents"/>
              <w:bidi w:val="0"/>
              <w:spacing w:before="0" w:after="283"/>
              <w:jc w:val="left"/>
              <w:rPr/>
            </w:pPr>
            <w:r>
              <w:rPr/>
              <w:t> </w:t>
            </w:r>
          </w:p>
        </w:tc>
      </w:tr>
      <w:tr>
        <w:trPr/>
        <w:tc>
          <w:tcPr>
            <w:tcW w:w="3095"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Commodity derivative gain (loss), net</w:t>
            </w:r>
          </w:p>
        </w:tc>
        <w:tc>
          <w:tcPr>
            <w:tcW w:w="60" w:type="dxa"/>
            <w:tcBorders/>
            <w:shd w:fill="CCEEFF" w:val="clear"/>
            <w:vAlign w:val="center"/>
          </w:tcPr>
          <w:p>
            <w:pPr>
              <w:pStyle w:val="TableContents"/>
              <w:bidi w:val="0"/>
              <w:spacing w:before="0" w:after="283"/>
              <w:ind w:left="0" w:right="0" w:hanging="0"/>
              <w:jc w:val="left"/>
              <w:rPr/>
            </w:pPr>
            <w:r>
              <w:rPr/>
              <w:t> </w:t>
            </w:r>
          </w:p>
        </w:tc>
        <w:tc>
          <w:tcPr>
            <w:tcW w:w="307"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823"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w:t>
            </w:r>
          </w:p>
        </w:tc>
        <w:tc>
          <w:tcPr>
            <w:tcW w:w="196" w:type="dxa"/>
            <w:tcBorders/>
            <w:shd w:fill="CCEEFF" w:val="clear"/>
            <w:vAlign w:val="center"/>
          </w:tcPr>
          <w:p>
            <w:pPr>
              <w:pStyle w:val="TableContents"/>
              <w:bidi w:val="0"/>
              <w:spacing w:before="0" w:after="283"/>
              <w:jc w:val="left"/>
              <w:rPr/>
            </w:pPr>
            <w:r>
              <w:rPr/>
              <w:t> </w:t>
            </w:r>
          </w:p>
        </w:tc>
        <w:tc>
          <w:tcPr>
            <w:tcW w:w="147" w:type="dxa"/>
            <w:tcBorders/>
            <w:shd w:fill="CCEEFF" w:val="clear"/>
            <w:vAlign w:val="center"/>
          </w:tcPr>
          <w:p>
            <w:pPr>
              <w:pStyle w:val="TableContents"/>
              <w:bidi w:val="0"/>
              <w:spacing w:before="0" w:after="283"/>
              <w:ind w:left="0" w:right="0" w:hanging="0"/>
              <w:jc w:val="left"/>
              <w:rPr/>
            </w:pPr>
            <w:r>
              <w:rPr/>
              <w:t> </w:t>
            </w:r>
          </w:p>
        </w:tc>
        <w:tc>
          <w:tcPr>
            <w:tcW w:w="307"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1192"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2,030</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9"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566"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(2,030</w:t>
            </w:r>
          </w:p>
        </w:tc>
        <w:tc>
          <w:tcPr>
            <w:tcW w:w="80"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bidi w:val="0"/>
              <w:spacing w:before="0" w:after="283"/>
              <w:jc w:val="left"/>
              <w:rPr/>
            </w:pPr>
            <w:r>
              <w:rPr/>
              <w:t> </w:t>
            </w:r>
          </w:p>
        </w:tc>
        <w:tc>
          <w:tcPr>
            <w:tcW w:w="87" w:type="dxa"/>
            <w:tcBorders/>
            <w:shd w:fill="CCEEFF" w:val="clear"/>
            <w:vAlign w:val="center"/>
          </w:tcPr>
          <w:p>
            <w:pPr>
              <w:pStyle w:val="TableContents"/>
              <w:bidi w:val="0"/>
              <w:spacing w:before="0" w:after="283"/>
              <w:ind w:left="0" w:right="0" w:hanging="0"/>
              <w:jc w:val="left"/>
              <w:rPr/>
            </w:pPr>
            <w:r>
              <w:rPr/>
              <w:t> </w:t>
            </w:r>
          </w:p>
        </w:tc>
        <w:tc>
          <w:tcPr>
            <w:tcW w:w="578"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(100</w:t>
            </w:r>
          </w:p>
        </w:tc>
        <w:tc>
          <w:tcPr>
            <w:tcW w:w="245"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r>
        <w:trPr/>
        <w:tc>
          <w:tcPr>
            <w:tcW w:w="3095"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Interest expense, net</w:t>
            </w:r>
          </w:p>
        </w:tc>
        <w:tc>
          <w:tcPr>
            <w:tcW w:w="60" w:type="dxa"/>
            <w:tcBorders/>
            <w:shd w:fill="FFFFFF" w:val="clear"/>
            <w:vAlign w:val="center"/>
          </w:tcPr>
          <w:p>
            <w:pPr>
              <w:pStyle w:val="TableContents"/>
              <w:bidi w:val="0"/>
              <w:spacing w:before="0" w:after="283"/>
              <w:jc w:val="left"/>
              <w:rPr/>
            </w:pPr>
            <w:r>
              <w:rPr/>
              <w:t> </w:t>
            </w:r>
          </w:p>
        </w:tc>
        <w:tc>
          <w:tcPr>
            <w:tcW w:w="307" w:type="dxa"/>
            <w:tcBorders/>
            <w:shd w:fill="FFFFFF" w:val="clear"/>
            <w:vAlign w:val="center"/>
          </w:tcPr>
          <w:p>
            <w:pPr>
              <w:pStyle w:val="TableContents"/>
              <w:bidi w:val="0"/>
              <w:spacing w:before="0" w:after="283"/>
              <w:ind w:left="0" w:right="0" w:hanging="0"/>
              <w:jc w:val="left"/>
              <w:rPr/>
            </w:pPr>
            <w:r>
              <w:rPr/>
              <w:t> </w:t>
            </w:r>
          </w:p>
        </w:tc>
        <w:tc>
          <w:tcPr>
            <w:tcW w:w="823"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(72</w:t>
            </w:r>
          </w:p>
        </w:tc>
        <w:tc>
          <w:tcPr>
            <w:tcW w:w="196"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147" w:type="dxa"/>
            <w:tcBorders/>
            <w:shd w:fill="FFFFFF" w:val="clear"/>
            <w:vAlign w:val="center"/>
          </w:tcPr>
          <w:p>
            <w:pPr>
              <w:pStyle w:val="TableContents"/>
              <w:bidi w:val="0"/>
              <w:spacing w:before="0" w:after="283"/>
              <w:jc w:val="left"/>
              <w:rPr/>
            </w:pPr>
            <w:r>
              <w:rPr/>
              <w:t> </w:t>
            </w:r>
          </w:p>
        </w:tc>
        <w:tc>
          <w:tcPr>
            <w:tcW w:w="307" w:type="dxa"/>
            <w:tcBorders/>
            <w:shd w:fill="FFFFFF" w:val="clear"/>
            <w:vAlign w:val="center"/>
          </w:tcPr>
          <w:p>
            <w:pPr>
              <w:pStyle w:val="TableContents"/>
              <w:bidi w:val="0"/>
              <w:spacing w:before="0" w:after="283"/>
              <w:ind w:left="0" w:right="0" w:hanging="0"/>
              <w:jc w:val="left"/>
              <w:rPr/>
            </w:pPr>
            <w:r>
              <w:rPr/>
              <w:t> </w:t>
            </w:r>
          </w:p>
        </w:tc>
        <w:tc>
          <w:tcPr>
            <w:tcW w:w="1192"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(93</w:t>
            </w:r>
          </w:p>
        </w:tc>
        <w:tc>
          <w:tcPr>
            <w:tcW w:w="80"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FFFFFF" w:val="clear"/>
            <w:vAlign w:val="center"/>
          </w:tcPr>
          <w:p>
            <w:pPr>
              <w:pStyle w:val="TableContents"/>
              <w:bidi w:val="0"/>
              <w:spacing w:before="0" w:after="283"/>
              <w:jc w:val="left"/>
              <w:rPr/>
            </w:pPr>
            <w:r>
              <w:rPr/>
              <w:t> </w:t>
            </w:r>
          </w:p>
        </w:tc>
        <w:tc>
          <w:tcPr>
            <w:tcW w:w="129" w:type="dxa"/>
            <w:tcBorders/>
            <w:shd w:fill="FFFFFF" w:val="clear"/>
            <w:vAlign w:val="center"/>
          </w:tcPr>
          <w:p>
            <w:pPr>
              <w:pStyle w:val="TableContents"/>
              <w:bidi w:val="0"/>
              <w:spacing w:before="0" w:after="283"/>
              <w:ind w:left="0" w:right="0" w:hanging="0"/>
              <w:jc w:val="left"/>
              <w:rPr/>
            </w:pPr>
            <w:r>
              <w:rPr/>
              <w:t> </w:t>
            </w:r>
          </w:p>
        </w:tc>
        <w:tc>
          <w:tcPr>
            <w:tcW w:w="566"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21</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7" w:type="dxa"/>
            <w:tcBorders/>
            <w:shd w:fill="FFFFFF" w:val="clear"/>
            <w:vAlign w:val="center"/>
          </w:tcPr>
          <w:p>
            <w:pPr>
              <w:pStyle w:val="TableContents"/>
              <w:bidi w:val="0"/>
              <w:spacing w:before="0" w:after="283"/>
              <w:ind w:left="0" w:right="0" w:hanging="0"/>
              <w:jc w:val="left"/>
              <w:rPr/>
            </w:pPr>
            <w:r>
              <w:rPr/>
              <w:t> </w:t>
            </w:r>
          </w:p>
        </w:tc>
        <w:tc>
          <w:tcPr>
            <w:tcW w:w="578"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23</w:t>
            </w:r>
          </w:p>
        </w:tc>
        <w:tc>
          <w:tcPr>
            <w:tcW w:w="245" w:type="dxa"/>
            <w:tcBorders/>
            <w:shd w:fill="FFFF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r>
      <w:tr>
        <w:trPr/>
        <w:tc>
          <w:tcPr>
            <w:tcW w:w="3095"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Other income (expense), net</w:t>
            </w:r>
          </w:p>
        </w:tc>
        <w:tc>
          <w:tcPr>
            <w:tcW w:w="60" w:type="dxa"/>
            <w:tcBorders/>
            <w:shd w:fill="CCEEFF" w:val="clear"/>
            <w:vAlign w:val="center"/>
          </w:tcPr>
          <w:p>
            <w:pPr>
              <w:pStyle w:val="TableContents"/>
              <w:bidi w:val="0"/>
              <w:spacing w:before="0" w:after="0"/>
              <w:ind w:left="0" w:right="0" w:hanging="0"/>
              <w:jc w:val="left"/>
              <w:rPr/>
            </w:pPr>
            <w:r>
              <w:rPr/>
              <w:t> </w:t>
            </w:r>
          </w:p>
        </w:tc>
        <w:tc>
          <w:tcPr>
            <w:tcW w:w="307"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823"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110</w:t>
            </w:r>
          </w:p>
        </w:tc>
        <w:tc>
          <w:tcPr>
            <w:tcW w:w="196" w:type="dxa"/>
            <w:tcBorders/>
            <w:shd w:fill="CCEEFF" w:val="clear"/>
            <w:vAlign w:val="center"/>
          </w:tcPr>
          <w:p>
            <w:pPr>
              <w:pStyle w:val="TableContents"/>
              <w:bidi w:val="0"/>
              <w:spacing w:before="0" w:after="0"/>
              <w:ind w:left="0" w:right="0" w:hanging="0"/>
              <w:jc w:val="left"/>
              <w:rPr/>
            </w:pPr>
            <w:r>
              <w:rPr/>
              <w:t> </w:t>
            </w:r>
          </w:p>
        </w:tc>
        <w:tc>
          <w:tcPr>
            <w:tcW w:w="147" w:type="dxa"/>
            <w:tcBorders/>
            <w:shd w:fill="CCEEFF" w:val="clear"/>
            <w:vAlign w:val="center"/>
          </w:tcPr>
          <w:p>
            <w:pPr>
              <w:pStyle w:val="TableContents"/>
              <w:bidi w:val="0"/>
              <w:spacing w:before="0" w:after="0"/>
              <w:ind w:left="0" w:right="0" w:hanging="0"/>
              <w:jc w:val="left"/>
              <w:rPr/>
            </w:pPr>
            <w:r>
              <w:rPr/>
              <w:t> </w:t>
            </w:r>
          </w:p>
        </w:tc>
        <w:tc>
          <w:tcPr>
            <w:tcW w:w="307"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192"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(52</w:t>
            </w:r>
          </w:p>
        </w:tc>
        <w:tc>
          <w:tcPr>
            <w:tcW w:w="80"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bidi w:val="0"/>
              <w:spacing w:before="0" w:after="0"/>
              <w:ind w:left="0" w:right="0" w:hanging="0"/>
              <w:jc w:val="left"/>
              <w:rPr/>
            </w:pPr>
            <w:r>
              <w:rPr/>
              <w:t> </w:t>
            </w:r>
          </w:p>
        </w:tc>
        <w:tc>
          <w:tcPr>
            <w:tcW w:w="129"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56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162</w:t>
            </w:r>
          </w:p>
        </w:tc>
        <w:tc>
          <w:tcPr>
            <w:tcW w:w="8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87"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578"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(312</w:t>
            </w:r>
          </w:p>
        </w:tc>
        <w:tc>
          <w:tcPr>
            <w:tcW w:w="24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w:t>
            </w:r>
          </w:p>
        </w:tc>
      </w:tr>
      <w:tr>
        <w:trPr/>
        <w:tc>
          <w:tcPr>
            <w:tcW w:w="30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07" w:type="dxa"/>
            <w:tcBorders/>
            <w:shd w:fill="FFFFFF" w:val="clear"/>
            <w:vAlign w:val="center"/>
          </w:tcPr>
          <w:p>
            <w:pPr>
              <w:pStyle w:val="TableContents"/>
              <w:bidi w:val="0"/>
              <w:spacing w:before="0" w:after="283"/>
              <w:jc w:val="left"/>
              <w:rPr/>
            </w:pPr>
            <w:r>
              <w:rPr/>
              <w:t> </w:t>
            </w:r>
          </w:p>
        </w:tc>
        <w:tc>
          <w:tcPr>
            <w:tcW w:w="823"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147" w:type="dxa"/>
            <w:tcBorders/>
            <w:shd w:fill="FFFFFF" w:val="clear"/>
            <w:vAlign w:val="center"/>
          </w:tcPr>
          <w:p>
            <w:pPr>
              <w:pStyle w:val="TableContents"/>
              <w:bidi w:val="0"/>
              <w:spacing w:before="0" w:after="283"/>
              <w:jc w:val="left"/>
              <w:rPr/>
            </w:pPr>
            <w:r>
              <w:rPr/>
              <w:t> </w:t>
            </w:r>
          </w:p>
        </w:tc>
        <w:tc>
          <w:tcPr>
            <w:tcW w:w="307" w:type="dxa"/>
            <w:tcBorders/>
            <w:shd w:fill="FFFFFF" w:val="clear"/>
            <w:vAlign w:val="center"/>
          </w:tcPr>
          <w:p>
            <w:pPr>
              <w:pStyle w:val="TableContents"/>
              <w:bidi w:val="0"/>
              <w:spacing w:before="0" w:after="283"/>
              <w:jc w:val="left"/>
              <w:rPr/>
            </w:pPr>
            <w:r>
              <w:rPr/>
              <w:t> </w:t>
            </w:r>
          </w:p>
        </w:tc>
        <w:tc>
          <w:tcPr>
            <w:tcW w:w="1192"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9" w:type="dxa"/>
            <w:tcBorders/>
            <w:shd w:fill="FFFFFF" w:val="clear"/>
            <w:vAlign w:val="center"/>
          </w:tcPr>
          <w:p>
            <w:pPr>
              <w:pStyle w:val="TableContents"/>
              <w:bidi w:val="0"/>
              <w:spacing w:before="0" w:after="283"/>
              <w:jc w:val="left"/>
              <w:rPr/>
            </w:pPr>
            <w:r>
              <w:rPr/>
              <w:t> </w:t>
            </w:r>
          </w:p>
        </w:tc>
        <w:tc>
          <w:tcPr>
            <w:tcW w:w="566"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7" w:type="dxa"/>
            <w:tcBorders/>
            <w:shd w:fill="FFFFFF" w:val="clear"/>
            <w:vAlign w:val="center"/>
          </w:tcPr>
          <w:p>
            <w:pPr>
              <w:pStyle w:val="TableContents"/>
              <w:bidi w:val="0"/>
              <w:spacing w:before="0" w:after="283"/>
              <w:jc w:val="left"/>
              <w:rPr/>
            </w:pPr>
            <w:r>
              <w:rPr/>
              <w:t> </w:t>
            </w:r>
          </w:p>
        </w:tc>
        <w:tc>
          <w:tcPr>
            <w:tcW w:w="578" w:type="dxa"/>
            <w:tcBorders/>
            <w:shd w:fill="FFFFFF" w:val="clear"/>
            <w:vAlign w:val="center"/>
          </w:tcPr>
          <w:p>
            <w:pPr>
              <w:pStyle w:val="TableContents"/>
              <w:bidi w:val="0"/>
              <w:spacing w:before="0" w:after="283"/>
              <w:jc w:val="left"/>
              <w:rPr/>
            </w:pPr>
            <w:r>
              <w:rPr/>
              <w:t> </w:t>
            </w:r>
          </w:p>
        </w:tc>
        <w:tc>
          <w:tcPr>
            <w:tcW w:w="245" w:type="dxa"/>
            <w:tcBorders/>
            <w:shd w:fill="FFFFFF" w:val="clear"/>
            <w:vAlign w:val="center"/>
          </w:tcPr>
          <w:p>
            <w:pPr>
              <w:pStyle w:val="TableContents"/>
              <w:bidi w:val="0"/>
              <w:spacing w:before="0" w:after="283"/>
              <w:jc w:val="left"/>
              <w:rPr/>
            </w:pPr>
            <w:r>
              <w:rPr/>
              <w:t> </w:t>
            </w:r>
          </w:p>
        </w:tc>
      </w:tr>
      <w:tr>
        <w:trPr/>
        <w:tc>
          <w:tcPr>
            <w:tcW w:w="3095" w:type="dxa"/>
            <w:tcBorders/>
            <w:shd w:fill="CCEE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Total other income (expense)</w:t>
            </w:r>
          </w:p>
        </w:tc>
        <w:tc>
          <w:tcPr>
            <w:tcW w:w="60" w:type="dxa"/>
            <w:tcBorders/>
            <w:shd w:fill="CCEEFF" w:val="clear"/>
            <w:vAlign w:val="center"/>
          </w:tcPr>
          <w:p>
            <w:pPr>
              <w:pStyle w:val="TableContents"/>
              <w:bidi w:val="0"/>
              <w:spacing w:before="0" w:after="283"/>
              <w:ind w:left="0" w:right="0" w:hanging="0"/>
              <w:jc w:val="left"/>
              <w:rPr/>
            </w:pPr>
            <w:r>
              <w:rPr/>
              <w:t> </w:t>
            </w:r>
          </w:p>
        </w:tc>
        <w:tc>
          <w:tcPr>
            <w:tcW w:w="307"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823"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38</w:t>
            </w:r>
          </w:p>
        </w:tc>
        <w:tc>
          <w:tcPr>
            <w:tcW w:w="196" w:type="dxa"/>
            <w:tcBorders/>
            <w:shd w:fill="CCEEFF" w:val="clear"/>
            <w:vAlign w:val="center"/>
          </w:tcPr>
          <w:p>
            <w:pPr>
              <w:pStyle w:val="TableContents"/>
              <w:bidi w:val="0"/>
              <w:spacing w:before="0" w:after="283"/>
              <w:jc w:val="left"/>
              <w:rPr/>
            </w:pPr>
            <w:r>
              <w:rPr/>
              <w:t> </w:t>
            </w:r>
          </w:p>
        </w:tc>
        <w:tc>
          <w:tcPr>
            <w:tcW w:w="147" w:type="dxa"/>
            <w:tcBorders/>
            <w:shd w:fill="CCEEFF" w:val="clear"/>
            <w:vAlign w:val="center"/>
          </w:tcPr>
          <w:p>
            <w:pPr>
              <w:pStyle w:val="TableContents"/>
              <w:bidi w:val="0"/>
              <w:spacing w:before="0" w:after="283"/>
              <w:ind w:left="0" w:right="0" w:hanging="0"/>
              <w:jc w:val="left"/>
              <w:rPr/>
            </w:pPr>
            <w:r>
              <w:rPr/>
              <w:t> </w:t>
            </w:r>
          </w:p>
        </w:tc>
        <w:tc>
          <w:tcPr>
            <w:tcW w:w="307"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1192"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1,885</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9"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566"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(1,847</w:t>
            </w:r>
          </w:p>
        </w:tc>
        <w:tc>
          <w:tcPr>
            <w:tcW w:w="80"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bidi w:val="0"/>
              <w:spacing w:before="0" w:after="283"/>
              <w:jc w:val="left"/>
              <w:rPr/>
            </w:pPr>
            <w:r>
              <w:rPr/>
              <w:t> </w:t>
            </w:r>
          </w:p>
        </w:tc>
        <w:tc>
          <w:tcPr>
            <w:tcW w:w="87"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578"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98</w:t>
            </w:r>
          </w:p>
        </w:tc>
        <w:tc>
          <w:tcPr>
            <w:tcW w:w="245"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For the three months ended September 30, 2025, we did not have any open commodity derivative positions. For the three months ended September 30, 2024, we recognized a gain on commodity derivative contracts of $2.0 million, primarily as the result of the settlement in September 2024 of all of our remaining commodity derivative contracts for $1.8 million.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Interest expense primarily represents the interest and fees on our credit facility with FirstBank Southwest. As of December 31, 2024 and September 30, 2025, we had no outstanding amounts on our credit facility. For the three months ended September 30, 2025, while there was no balance outstanding on the credit facility, we did incur fees to maintain our credit facility and expensed our prior deferred financing costs upon amending our credit facility in September 2025, as discussed above.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283"/>
        <w:jc w:val="left"/>
        <w:rPr/>
      </w:pPr>
      <w:r>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Comparison of our Statements of Operations for the Nine Months Ended September 30, 2025 and 2024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For the nine months ended September 30, 2025, we recorded a net loss of $12.5 million which was primarily due to declining commodity prices and lower production, resulting in reduced revenue for the period, which was also affected by property sales. In the following sections, we discuss our revenue, operating expenses, and other income (expense) for the nine months ended September 30, 2025 compared to the nine months ended September 30, 2024.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24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i/>
          <w:caps w:val="false"/>
          <w:smallCaps w:val="false"/>
          <w:sz w:val="20"/>
        </w:rPr>
        <w:t xml:space="preserve">Revenue. </w:t>
      </w:r>
      <w:r>
        <w:rPr>
          <w:rFonts w:ascii="Times New Roman" w:hAnsi="Times New Roman"/>
          <w:caps w:val="false"/>
          <w:smallCaps w:val="false"/>
          <w:sz w:val="20"/>
        </w:rPr>
        <w:t>Presented below is a comparison of our oil and natural gas sales, production quantities and average sales prices for the nine months ended September 30, 2025 and 2024:</w:t>
      </w:r>
    </w:p>
    <w:p>
      <w:pPr>
        <w:pStyle w:val="TextBody"/>
        <w:bidi w:val="0"/>
        <w:spacing w:before="0" w:after="0"/>
        <w:ind w:left="0" w:right="0" w:hanging="0"/>
        <w:jc w:val="left"/>
        <w:rPr>
          <w:caps w:val="false"/>
          <w:smallCaps w:val="false"/>
        </w:rPr>
      </w:pPr>
      <w:r>
        <w:rPr>
          <w:caps w:val="false"/>
          <w:smallCaps w:val="false"/>
        </w:rPr>
        <w:t> </w:t>
      </w:r>
    </w:p>
    <w:tbl>
      <w:tblPr>
        <w:tblW w:w="7883" w:type="dxa"/>
        <w:jc w:val="left"/>
        <w:tblInd w:w="0" w:type="dxa"/>
        <w:tblLayout w:type="fixed"/>
        <w:tblCellMar>
          <w:top w:w="0" w:type="dxa"/>
          <w:left w:w="0" w:type="dxa"/>
          <w:bottom w:w="0" w:type="dxa"/>
          <w:right w:w="0" w:type="dxa"/>
        </w:tblCellMar>
      </w:tblPr>
      <w:tblGrid>
        <w:gridCol w:w="2480"/>
        <w:gridCol w:w="60"/>
        <w:gridCol w:w="221"/>
        <w:gridCol w:w="1235"/>
        <w:gridCol w:w="106"/>
        <w:gridCol w:w="106"/>
        <w:gridCol w:w="221"/>
        <w:gridCol w:w="1235"/>
        <w:gridCol w:w="65"/>
        <w:gridCol w:w="65"/>
        <w:gridCol w:w="137"/>
        <w:gridCol w:w="827"/>
        <w:gridCol w:w="87"/>
        <w:gridCol w:w="65"/>
        <w:gridCol w:w="124"/>
        <w:gridCol w:w="604"/>
        <w:gridCol w:w="245"/>
      </w:tblGrid>
      <w:tr>
        <w:trPr/>
        <w:tc>
          <w:tcPr>
            <w:tcW w:w="24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3124"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Nine months ended September 30,</w:t>
            </w:r>
          </w:p>
        </w:tc>
        <w:tc>
          <w:tcPr>
            <w:tcW w:w="65" w:type="dxa"/>
            <w:tcBorders/>
            <w:shd w:fill="FFFFFF" w:val="clear"/>
            <w:vAlign w:val="center"/>
          </w:tcPr>
          <w:p>
            <w:pPr>
              <w:pStyle w:val="TableContents"/>
              <w:bidi w:val="0"/>
              <w:spacing w:before="0" w:after="283"/>
              <w:jc w:val="left"/>
              <w:rPr/>
            </w:pPr>
            <w:r>
              <w:rPr/>
              <w:t> </w:t>
            </w:r>
          </w:p>
        </w:tc>
        <w:tc>
          <w:tcPr>
            <w:tcW w:w="65" w:type="dxa"/>
            <w:tcBorders/>
            <w:shd w:fill="FFFFFF" w:val="clear"/>
            <w:vAlign w:val="center"/>
          </w:tcPr>
          <w:p>
            <w:pPr>
              <w:pStyle w:val="TableContents"/>
              <w:bidi w:val="0"/>
              <w:spacing w:before="0" w:after="283"/>
              <w:ind w:left="0" w:right="0" w:hanging="0"/>
              <w:jc w:val="left"/>
              <w:rPr/>
            </w:pPr>
            <w:r>
              <w:rPr/>
              <w:t> </w:t>
            </w:r>
          </w:p>
        </w:tc>
        <w:tc>
          <w:tcPr>
            <w:tcW w:w="1844"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Change</w:t>
            </w:r>
          </w:p>
        </w:tc>
        <w:tc>
          <w:tcPr>
            <w:tcW w:w="245" w:type="dxa"/>
            <w:tcBorders/>
            <w:shd w:fill="FFFFFF" w:val="clear"/>
            <w:vAlign w:val="center"/>
          </w:tcPr>
          <w:p>
            <w:pPr>
              <w:pStyle w:val="TableContents"/>
              <w:bidi w:val="0"/>
              <w:spacing w:before="0" w:after="283"/>
              <w:jc w:val="left"/>
              <w:rPr/>
            </w:pPr>
            <w:r>
              <w:rPr/>
              <w:t> </w:t>
            </w:r>
          </w:p>
        </w:tc>
      </w:tr>
      <w:tr>
        <w:trPr/>
        <w:tc>
          <w:tcPr>
            <w:tcW w:w="24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456"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2025</w:t>
            </w:r>
          </w:p>
        </w:tc>
        <w:tc>
          <w:tcPr>
            <w:tcW w:w="106" w:type="dxa"/>
            <w:tcBorders/>
            <w:shd w:fill="FFFFFF" w:val="clear"/>
            <w:vAlign w:val="center"/>
          </w:tcPr>
          <w:p>
            <w:pPr>
              <w:pStyle w:val="TableContents"/>
              <w:bidi w:val="0"/>
              <w:spacing w:before="0" w:after="283"/>
              <w:jc w:val="left"/>
              <w:rPr/>
            </w:pPr>
            <w:r>
              <w:rPr/>
              <w:t> </w:t>
            </w:r>
          </w:p>
        </w:tc>
        <w:tc>
          <w:tcPr>
            <w:tcW w:w="106" w:type="dxa"/>
            <w:tcBorders/>
            <w:shd w:fill="FFFFFF" w:val="clear"/>
            <w:vAlign w:val="center"/>
          </w:tcPr>
          <w:p>
            <w:pPr>
              <w:pStyle w:val="TableContents"/>
              <w:bidi w:val="0"/>
              <w:spacing w:before="0" w:after="283"/>
              <w:ind w:left="0" w:right="0" w:hanging="0"/>
              <w:jc w:val="left"/>
              <w:rPr/>
            </w:pPr>
            <w:r>
              <w:rPr/>
              <w:t> </w:t>
            </w:r>
          </w:p>
        </w:tc>
        <w:tc>
          <w:tcPr>
            <w:tcW w:w="1456"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2024</w:t>
            </w:r>
          </w:p>
        </w:tc>
        <w:tc>
          <w:tcPr>
            <w:tcW w:w="65" w:type="dxa"/>
            <w:tcBorders/>
            <w:shd w:fill="FFFFFF" w:val="clear"/>
            <w:vAlign w:val="center"/>
          </w:tcPr>
          <w:p>
            <w:pPr>
              <w:pStyle w:val="TableContents"/>
              <w:bidi w:val="0"/>
              <w:spacing w:before="0" w:after="283"/>
              <w:jc w:val="left"/>
              <w:rPr/>
            </w:pPr>
            <w:r>
              <w:rPr/>
              <w:t> </w:t>
            </w:r>
          </w:p>
        </w:tc>
        <w:tc>
          <w:tcPr>
            <w:tcW w:w="65" w:type="dxa"/>
            <w:tcBorders/>
            <w:shd w:fill="FFFFFF" w:val="clear"/>
            <w:vAlign w:val="center"/>
          </w:tcPr>
          <w:p>
            <w:pPr>
              <w:pStyle w:val="TableContents"/>
              <w:bidi w:val="0"/>
              <w:spacing w:before="0" w:after="283"/>
              <w:ind w:left="0" w:right="0" w:hanging="0"/>
              <w:jc w:val="left"/>
              <w:rPr/>
            </w:pPr>
            <w:r>
              <w:rPr/>
              <w:t> </w:t>
            </w:r>
          </w:p>
        </w:tc>
        <w:tc>
          <w:tcPr>
            <w:tcW w:w="964"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Amount</w:t>
            </w:r>
          </w:p>
        </w:tc>
        <w:tc>
          <w:tcPr>
            <w:tcW w:w="87" w:type="dxa"/>
            <w:tcBorders/>
            <w:shd w:fill="FFFFFF" w:val="clear"/>
            <w:vAlign w:val="center"/>
          </w:tcPr>
          <w:p>
            <w:pPr>
              <w:pStyle w:val="TableContents"/>
              <w:bidi w:val="0"/>
              <w:spacing w:before="0" w:after="283"/>
              <w:jc w:val="left"/>
              <w:rPr/>
            </w:pPr>
            <w:r>
              <w:rPr/>
              <w:t> </w:t>
            </w:r>
          </w:p>
        </w:tc>
        <w:tc>
          <w:tcPr>
            <w:tcW w:w="65" w:type="dxa"/>
            <w:tcBorders/>
            <w:shd w:fill="FFFFFF" w:val="clear"/>
            <w:vAlign w:val="center"/>
          </w:tcPr>
          <w:p>
            <w:pPr>
              <w:pStyle w:val="TableContents"/>
              <w:bidi w:val="0"/>
              <w:spacing w:before="0" w:after="283"/>
              <w:ind w:left="0" w:right="0" w:hanging="0"/>
              <w:jc w:val="left"/>
              <w:rPr/>
            </w:pPr>
            <w:r>
              <w:rPr/>
              <w:t> </w:t>
            </w:r>
          </w:p>
        </w:tc>
        <w:tc>
          <w:tcPr>
            <w:tcW w:w="728"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Percent</w:t>
            </w:r>
          </w:p>
        </w:tc>
        <w:tc>
          <w:tcPr>
            <w:tcW w:w="245" w:type="dxa"/>
            <w:tcBorders/>
            <w:shd w:fill="FFFFFF" w:val="clear"/>
            <w:vAlign w:val="center"/>
          </w:tcPr>
          <w:p>
            <w:pPr>
              <w:pStyle w:val="TableContents"/>
              <w:bidi w:val="0"/>
              <w:spacing w:before="0" w:after="283"/>
              <w:jc w:val="left"/>
              <w:rPr/>
            </w:pPr>
            <w:r>
              <w:rPr/>
              <w:t> </w:t>
            </w:r>
          </w:p>
        </w:tc>
      </w:tr>
      <w:tr>
        <w:trPr/>
        <w:tc>
          <w:tcPr>
            <w:tcW w:w="24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5098" w:type="dxa"/>
            <w:gridSpan w:val="14"/>
            <w:tcBorders/>
            <w:shd w:fill="FFFFFF" w:val="cle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(in thousands except average prices and production quantities)</w:t>
            </w:r>
          </w:p>
        </w:tc>
        <w:tc>
          <w:tcPr>
            <w:tcW w:w="245" w:type="dxa"/>
            <w:tcBorders/>
            <w:shd w:fill="FFFFFF" w:val="clear"/>
            <w:vAlign w:val="center"/>
          </w:tcPr>
          <w:p>
            <w:pPr>
              <w:pStyle w:val="TableContents"/>
              <w:bidi w:val="0"/>
              <w:spacing w:before="0" w:after="283"/>
              <w:jc w:val="left"/>
              <w:rPr/>
            </w:pPr>
            <w:r>
              <w:rPr/>
              <w:t> </w:t>
            </w:r>
          </w:p>
        </w:tc>
      </w:tr>
      <w:tr>
        <w:trPr/>
        <w:tc>
          <w:tcPr>
            <w:tcW w:w="2480" w:type="dxa"/>
            <w:tcBorders/>
            <w:shd w:fill="CCEE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Revenue:</w:t>
            </w:r>
          </w:p>
        </w:tc>
        <w:tc>
          <w:tcPr>
            <w:tcW w:w="60" w:type="dxa"/>
            <w:tcBorders/>
            <w:shd w:fill="CCEEFF" w:val="clear"/>
            <w:vAlign w:val="center"/>
          </w:tcPr>
          <w:p>
            <w:pPr>
              <w:pStyle w:val="TableContents"/>
              <w:bidi w:val="0"/>
              <w:spacing w:before="0" w:after="283"/>
              <w:jc w:val="left"/>
              <w:rPr/>
            </w:pPr>
            <w:r>
              <w:rPr/>
              <w:t> </w:t>
            </w:r>
          </w:p>
        </w:tc>
        <w:tc>
          <w:tcPr>
            <w:tcW w:w="221" w:type="dxa"/>
            <w:tcBorders/>
            <w:shd w:fill="CCEEFF" w:val="clear"/>
            <w:vAlign w:val="center"/>
          </w:tcPr>
          <w:p>
            <w:pPr>
              <w:pStyle w:val="TableContents"/>
              <w:bidi w:val="0"/>
              <w:spacing w:before="0" w:after="283"/>
              <w:jc w:val="left"/>
              <w:rPr/>
            </w:pPr>
            <w:r>
              <w:rPr/>
              <w:t> </w:t>
            </w:r>
          </w:p>
        </w:tc>
        <w:tc>
          <w:tcPr>
            <w:tcW w:w="1235" w:type="dxa"/>
            <w:tcBorders/>
            <w:shd w:fill="CCEEFF" w:val="clear"/>
            <w:vAlign w:val="center"/>
          </w:tcPr>
          <w:p>
            <w:pPr>
              <w:pStyle w:val="TableContents"/>
              <w:bidi w:val="0"/>
              <w:spacing w:before="0" w:after="283"/>
              <w:jc w:val="left"/>
              <w:rPr/>
            </w:pPr>
            <w:r>
              <w:rPr/>
              <w:t> </w:t>
            </w:r>
          </w:p>
        </w:tc>
        <w:tc>
          <w:tcPr>
            <w:tcW w:w="106" w:type="dxa"/>
            <w:tcBorders/>
            <w:shd w:fill="CCEEFF" w:val="clear"/>
            <w:vAlign w:val="center"/>
          </w:tcPr>
          <w:p>
            <w:pPr>
              <w:pStyle w:val="TableContents"/>
              <w:bidi w:val="0"/>
              <w:spacing w:before="0" w:after="283"/>
              <w:jc w:val="left"/>
              <w:rPr/>
            </w:pPr>
            <w:r>
              <w:rPr/>
              <w:t> </w:t>
            </w:r>
          </w:p>
        </w:tc>
        <w:tc>
          <w:tcPr>
            <w:tcW w:w="106" w:type="dxa"/>
            <w:tcBorders/>
            <w:shd w:fill="CCEEFF" w:val="clear"/>
            <w:vAlign w:val="center"/>
          </w:tcPr>
          <w:p>
            <w:pPr>
              <w:pStyle w:val="TableContents"/>
              <w:bidi w:val="0"/>
              <w:spacing w:before="0" w:after="283"/>
              <w:jc w:val="left"/>
              <w:rPr/>
            </w:pPr>
            <w:r>
              <w:rPr/>
              <w:t> </w:t>
            </w:r>
          </w:p>
        </w:tc>
        <w:tc>
          <w:tcPr>
            <w:tcW w:w="221" w:type="dxa"/>
            <w:tcBorders/>
            <w:shd w:fill="CCEEFF" w:val="clear"/>
            <w:vAlign w:val="center"/>
          </w:tcPr>
          <w:p>
            <w:pPr>
              <w:pStyle w:val="TableContents"/>
              <w:bidi w:val="0"/>
              <w:spacing w:before="0" w:after="283"/>
              <w:jc w:val="left"/>
              <w:rPr/>
            </w:pPr>
            <w:r>
              <w:rPr/>
              <w:t> </w:t>
            </w:r>
          </w:p>
        </w:tc>
        <w:tc>
          <w:tcPr>
            <w:tcW w:w="1235" w:type="dxa"/>
            <w:tcBorders/>
            <w:shd w:fill="CCEEFF" w:val="clear"/>
            <w:vAlign w:val="center"/>
          </w:tcPr>
          <w:p>
            <w:pPr>
              <w:pStyle w:val="TableContents"/>
              <w:bidi w:val="0"/>
              <w:spacing w:before="0" w:after="283"/>
              <w:jc w:val="left"/>
              <w:rPr/>
            </w:pPr>
            <w:r>
              <w:rPr/>
              <w:t> </w:t>
            </w:r>
          </w:p>
        </w:tc>
        <w:tc>
          <w:tcPr>
            <w:tcW w:w="65" w:type="dxa"/>
            <w:tcBorders/>
            <w:shd w:fill="CCEEFF" w:val="clear"/>
            <w:vAlign w:val="center"/>
          </w:tcPr>
          <w:p>
            <w:pPr>
              <w:pStyle w:val="TableContents"/>
              <w:bidi w:val="0"/>
              <w:spacing w:before="0" w:after="283"/>
              <w:jc w:val="left"/>
              <w:rPr/>
            </w:pPr>
            <w:r>
              <w:rPr/>
              <w:t> </w:t>
            </w:r>
          </w:p>
        </w:tc>
        <w:tc>
          <w:tcPr>
            <w:tcW w:w="65" w:type="dxa"/>
            <w:tcBorders/>
            <w:shd w:fill="CCEEFF" w:val="clear"/>
            <w:vAlign w:val="center"/>
          </w:tcPr>
          <w:p>
            <w:pPr>
              <w:pStyle w:val="TableContents"/>
              <w:bidi w:val="0"/>
              <w:spacing w:before="0" w:after="283"/>
              <w:jc w:val="left"/>
              <w:rPr/>
            </w:pPr>
            <w:r>
              <w:rPr/>
              <w:t> </w:t>
            </w:r>
          </w:p>
        </w:tc>
        <w:tc>
          <w:tcPr>
            <w:tcW w:w="137" w:type="dxa"/>
            <w:tcBorders/>
            <w:shd w:fill="CCEEFF" w:val="clear"/>
            <w:vAlign w:val="center"/>
          </w:tcPr>
          <w:p>
            <w:pPr>
              <w:pStyle w:val="TableContents"/>
              <w:bidi w:val="0"/>
              <w:spacing w:before="0" w:after="283"/>
              <w:jc w:val="left"/>
              <w:rPr/>
            </w:pPr>
            <w:r>
              <w:rPr/>
              <w:t> </w:t>
            </w:r>
          </w:p>
        </w:tc>
        <w:tc>
          <w:tcPr>
            <w:tcW w:w="827" w:type="dxa"/>
            <w:tcBorders/>
            <w:shd w:fill="CCEEFF" w:val="clear"/>
            <w:vAlign w:val="center"/>
          </w:tcPr>
          <w:p>
            <w:pPr>
              <w:pStyle w:val="TableContents"/>
              <w:bidi w:val="0"/>
              <w:spacing w:before="0" w:after="283"/>
              <w:jc w:val="left"/>
              <w:rPr/>
            </w:pPr>
            <w:r>
              <w:rPr/>
              <w:t> </w:t>
            </w:r>
          </w:p>
        </w:tc>
        <w:tc>
          <w:tcPr>
            <w:tcW w:w="87" w:type="dxa"/>
            <w:tcBorders/>
            <w:shd w:fill="CCEEFF" w:val="clear"/>
            <w:vAlign w:val="center"/>
          </w:tcPr>
          <w:p>
            <w:pPr>
              <w:pStyle w:val="TableContents"/>
              <w:bidi w:val="0"/>
              <w:spacing w:before="0" w:after="283"/>
              <w:jc w:val="left"/>
              <w:rPr/>
            </w:pPr>
            <w:r>
              <w:rPr/>
              <w:t> </w:t>
            </w:r>
          </w:p>
        </w:tc>
        <w:tc>
          <w:tcPr>
            <w:tcW w:w="65" w:type="dxa"/>
            <w:tcBorders/>
            <w:shd w:fill="CCEEFF" w:val="clear"/>
            <w:vAlign w:val="center"/>
          </w:tcPr>
          <w:p>
            <w:pPr>
              <w:pStyle w:val="TableContents"/>
              <w:bidi w:val="0"/>
              <w:spacing w:before="0" w:after="283"/>
              <w:jc w:val="left"/>
              <w:rPr/>
            </w:pPr>
            <w:r>
              <w:rPr/>
              <w:t> </w:t>
            </w:r>
          </w:p>
        </w:tc>
        <w:tc>
          <w:tcPr>
            <w:tcW w:w="124" w:type="dxa"/>
            <w:tcBorders/>
            <w:shd w:fill="CCEEFF" w:val="clear"/>
            <w:vAlign w:val="center"/>
          </w:tcPr>
          <w:p>
            <w:pPr>
              <w:pStyle w:val="TableContents"/>
              <w:bidi w:val="0"/>
              <w:spacing w:before="0" w:after="283"/>
              <w:jc w:val="left"/>
              <w:rPr/>
            </w:pPr>
            <w:r>
              <w:rPr/>
              <w:t> </w:t>
            </w:r>
          </w:p>
        </w:tc>
        <w:tc>
          <w:tcPr>
            <w:tcW w:w="604" w:type="dxa"/>
            <w:tcBorders/>
            <w:shd w:fill="CCEEFF" w:val="clear"/>
            <w:vAlign w:val="center"/>
          </w:tcPr>
          <w:p>
            <w:pPr>
              <w:pStyle w:val="TableContents"/>
              <w:bidi w:val="0"/>
              <w:spacing w:before="0" w:after="283"/>
              <w:jc w:val="left"/>
              <w:rPr/>
            </w:pPr>
            <w:r>
              <w:rPr/>
              <w:t> </w:t>
            </w:r>
          </w:p>
        </w:tc>
        <w:tc>
          <w:tcPr>
            <w:tcW w:w="245" w:type="dxa"/>
            <w:tcBorders/>
            <w:shd w:fill="CCEEFF" w:val="clear"/>
            <w:vAlign w:val="center"/>
          </w:tcPr>
          <w:p>
            <w:pPr>
              <w:pStyle w:val="TableContents"/>
              <w:bidi w:val="0"/>
              <w:spacing w:before="0" w:after="283"/>
              <w:jc w:val="left"/>
              <w:rPr/>
            </w:pPr>
            <w:r>
              <w:rPr/>
              <w:t> </w:t>
            </w:r>
          </w:p>
        </w:tc>
      </w:tr>
      <w:tr>
        <w:trPr/>
        <w:tc>
          <w:tcPr>
            <w:tcW w:w="2480"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Oil</w:t>
            </w:r>
          </w:p>
        </w:tc>
        <w:tc>
          <w:tcPr>
            <w:tcW w:w="60" w:type="dxa"/>
            <w:tcBorders/>
            <w:shd w:fill="FFFFFF" w:val="clear"/>
            <w:vAlign w:val="center"/>
          </w:tcPr>
          <w:p>
            <w:pPr>
              <w:pStyle w:val="TableContents"/>
              <w:bidi w:val="0"/>
              <w:spacing w:before="0" w:after="283"/>
              <w:ind w:left="0" w:right="0" w:hanging="0"/>
              <w:jc w:val="left"/>
              <w:rPr/>
            </w:pPr>
            <w:r>
              <w:rPr/>
              <w:t> </w:t>
            </w:r>
          </w:p>
        </w:tc>
        <w:tc>
          <w:tcPr>
            <w:tcW w:w="221"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23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5,201</w:t>
            </w:r>
          </w:p>
        </w:tc>
        <w:tc>
          <w:tcPr>
            <w:tcW w:w="106" w:type="dxa"/>
            <w:tcBorders/>
            <w:shd w:fill="FFFFFF" w:val="clear"/>
            <w:vAlign w:val="center"/>
          </w:tcPr>
          <w:p>
            <w:pPr>
              <w:pStyle w:val="TableContents"/>
              <w:bidi w:val="0"/>
              <w:spacing w:before="0" w:after="283"/>
              <w:jc w:val="left"/>
              <w:rPr/>
            </w:pPr>
            <w:r>
              <w:rPr/>
              <w:t> </w:t>
            </w:r>
          </w:p>
        </w:tc>
        <w:tc>
          <w:tcPr>
            <w:tcW w:w="106" w:type="dxa"/>
            <w:tcBorders/>
            <w:shd w:fill="FFFFFF" w:val="clear"/>
            <w:vAlign w:val="center"/>
          </w:tcPr>
          <w:p>
            <w:pPr>
              <w:pStyle w:val="TableContents"/>
              <w:bidi w:val="0"/>
              <w:spacing w:before="0" w:after="283"/>
              <w:ind w:left="0" w:right="0" w:hanging="0"/>
              <w:jc w:val="left"/>
              <w:rPr/>
            </w:pPr>
            <w:r>
              <w:rPr/>
              <w:t> </w:t>
            </w:r>
          </w:p>
        </w:tc>
        <w:tc>
          <w:tcPr>
            <w:tcW w:w="221"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23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14,574</w:t>
            </w:r>
          </w:p>
        </w:tc>
        <w:tc>
          <w:tcPr>
            <w:tcW w:w="65" w:type="dxa"/>
            <w:tcBorders/>
            <w:shd w:fill="FFFFFF" w:val="clear"/>
            <w:vAlign w:val="center"/>
          </w:tcPr>
          <w:p>
            <w:pPr>
              <w:pStyle w:val="TableContents"/>
              <w:bidi w:val="0"/>
              <w:spacing w:before="0" w:after="283"/>
              <w:jc w:val="left"/>
              <w:rPr/>
            </w:pPr>
            <w:r>
              <w:rPr/>
              <w:t> </w:t>
            </w:r>
          </w:p>
        </w:tc>
        <w:tc>
          <w:tcPr>
            <w:tcW w:w="65" w:type="dxa"/>
            <w:tcBorders/>
            <w:shd w:fill="FFFFFF" w:val="clear"/>
            <w:vAlign w:val="center"/>
          </w:tcPr>
          <w:p>
            <w:pPr>
              <w:pStyle w:val="TableContents"/>
              <w:bidi w:val="0"/>
              <w:spacing w:before="0" w:after="283"/>
              <w:ind w:left="0" w:right="0" w:hanging="0"/>
              <w:jc w:val="left"/>
              <w:rPr/>
            </w:pPr>
            <w:r>
              <w:rPr/>
              <w:t> </w:t>
            </w:r>
          </w:p>
        </w:tc>
        <w:tc>
          <w:tcPr>
            <w:tcW w:w="137"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27"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(9,373</w:t>
            </w:r>
          </w:p>
        </w:tc>
        <w:tc>
          <w:tcPr>
            <w:tcW w:w="87"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5" w:type="dxa"/>
            <w:tcBorders/>
            <w:shd w:fill="FFFFFF" w:val="clear"/>
            <w:vAlign w:val="center"/>
          </w:tcPr>
          <w:p>
            <w:pPr>
              <w:pStyle w:val="TableContents"/>
              <w:bidi w:val="0"/>
              <w:spacing w:before="0" w:after="283"/>
              <w:jc w:val="left"/>
              <w:rPr/>
            </w:pPr>
            <w:r>
              <w:rPr/>
              <w:t> </w:t>
            </w:r>
          </w:p>
        </w:tc>
        <w:tc>
          <w:tcPr>
            <w:tcW w:w="124" w:type="dxa"/>
            <w:tcBorders/>
            <w:shd w:fill="FFFFFF" w:val="clear"/>
            <w:vAlign w:val="center"/>
          </w:tcPr>
          <w:p>
            <w:pPr>
              <w:pStyle w:val="TableContents"/>
              <w:bidi w:val="0"/>
              <w:spacing w:before="0" w:after="283"/>
              <w:ind w:left="0" w:right="0" w:hanging="0"/>
              <w:jc w:val="left"/>
              <w:rPr/>
            </w:pPr>
            <w:r>
              <w:rPr/>
              <w:t> </w:t>
            </w:r>
          </w:p>
        </w:tc>
        <w:tc>
          <w:tcPr>
            <w:tcW w:w="604"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(64</w:t>
            </w:r>
          </w:p>
        </w:tc>
        <w:tc>
          <w:tcPr>
            <w:tcW w:w="24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2480"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Natural gas and liquids</w:t>
            </w:r>
          </w:p>
        </w:tc>
        <w:tc>
          <w:tcPr>
            <w:tcW w:w="60" w:type="dxa"/>
            <w:tcBorders/>
            <w:shd w:fill="CCEEFF" w:val="clear"/>
            <w:vAlign w:val="center"/>
          </w:tcPr>
          <w:p>
            <w:pPr>
              <w:pStyle w:val="TableContents"/>
              <w:bidi w:val="0"/>
              <w:spacing w:before="0" w:after="283"/>
              <w:jc w:val="left"/>
              <w:rPr/>
            </w:pPr>
            <w:r>
              <w:rPr/>
              <w:t> </w:t>
            </w:r>
          </w:p>
        </w:tc>
        <w:tc>
          <w:tcPr>
            <w:tcW w:w="221"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23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758</w:t>
            </w:r>
          </w:p>
        </w:tc>
        <w:tc>
          <w:tcPr>
            <w:tcW w:w="106" w:type="dxa"/>
            <w:tcBorders/>
            <w:shd w:fill="CCEEFF" w:val="clear"/>
            <w:vAlign w:val="center"/>
          </w:tcPr>
          <w:p>
            <w:pPr>
              <w:pStyle w:val="TableContents"/>
              <w:bidi w:val="0"/>
              <w:spacing w:before="0" w:after="283"/>
              <w:jc w:val="left"/>
              <w:rPr/>
            </w:pPr>
            <w:r>
              <w:rPr/>
              <w:t> </w:t>
            </w:r>
          </w:p>
        </w:tc>
        <w:tc>
          <w:tcPr>
            <w:tcW w:w="106" w:type="dxa"/>
            <w:tcBorders/>
            <w:shd w:fill="CCEEFF" w:val="clear"/>
            <w:vAlign w:val="center"/>
          </w:tcPr>
          <w:p>
            <w:pPr>
              <w:pStyle w:val="TableContents"/>
              <w:bidi w:val="0"/>
              <w:spacing w:before="0" w:after="283"/>
              <w:jc w:val="left"/>
              <w:rPr/>
            </w:pPr>
            <w:r>
              <w:rPr/>
              <w:t> </w:t>
            </w:r>
          </w:p>
        </w:tc>
        <w:tc>
          <w:tcPr>
            <w:tcW w:w="221"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23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1,820</w:t>
            </w:r>
          </w:p>
        </w:tc>
        <w:tc>
          <w:tcPr>
            <w:tcW w:w="65" w:type="dxa"/>
            <w:tcBorders/>
            <w:shd w:fill="CCEEFF" w:val="clear"/>
            <w:vAlign w:val="center"/>
          </w:tcPr>
          <w:p>
            <w:pPr>
              <w:pStyle w:val="TableContents"/>
              <w:bidi w:val="0"/>
              <w:spacing w:before="0" w:after="283"/>
              <w:jc w:val="left"/>
              <w:rPr/>
            </w:pPr>
            <w:r>
              <w:rPr/>
              <w:t> </w:t>
            </w:r>
          </w:p>
        </w:tc>
        <w:tc>
          <w:tcPr>
            <w:tcW w:w="65" w:type="dxa"/>
            <w:tcBorders/>
            <w:shd w:fill="CCEEFF" w:val="clear"/>
            <w:vAlign w:val="center"/>
          </w:tcPr>
          <w:p>
            <w:pPr>
              <w:pStyle w:val="TableContents"/>
              <w:bidi w:val="0"/>
              <w:spacing w:before="0" w:after="283"/>
              <w:jc w:val="left"/>
              <w:rPr/>
            </w:pPr>
            <w:r>
              <w:rPr/>
              <w:t> </w:t>
            </w:r>
          </w:p>
        </w:tc>
        <w:tc>
          <w:tcPr>
            <w:tcW w:w="137"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827"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(1,062</w:t>
            </w:r>
          </w:p>
        </w:tc>
        <w:tc>
          <w:tcPr>
            <w:tcW w:w="87"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5" w:type="dxa"/>
            <w:tcBorders/>
            <w:shd w:fill="CCEEFF" w:val="clear"/>
            <w:vAlign w:val="center"/>
          </w:tcPr>
          <w:p>
            <w:pPr>
              <w:pStyle w:val="TableContents"/>
              <w:bidi w:val="0"/>
              <w:spacing w:before="0" w:after="283"/>
              <w:jc w:val="left"/>
              <w:rPr/>
            </w:pPr>
            <w:r>
              <w:rPr/>
              <w:t> </w:t>
            </w:r>
          </w:p>
        </w:tc>
        <w:tc>
          <w:tcPr>
            <w:tcW w:w="124"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04"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(58</w:t>
            </w:r>
          </w:p>
        </w:tc>
        <w:tc>
          <w:tcPr>
            <w:tcW w:w="24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24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21" w:type="dxa"/>
            <w:tcBorders/>
            <w:shd w:fill="FFFFFF" w:val="clear"/>
            <w:vAlign w:val="center"/>
          </w:tcPr>
          <w:p>
            <w:pPr>
              <w:pStyle w:val="TableContents"/>
              <w:bidi w:val="0"/>
              <w:spacing w:before="0" w:after="283"/>
              <w:jc w:val="left"/>
              <w:rPr/>
            </w:pPr>
            <w:r>
              <w:rPr/>
              <w:t> </w:t>
            </w:r>
          </w:p>
        </w:tc>
        <w:tc>
          <w:tcPr>
            <w:tcW w:w="1235" w:type="dxa"/>
            <w:tcBorders/>
            <w:shd w:fill="FFFFFF" w:val="clear"/>
            <w:vAlign w:val="center"/>
          </w:tcPr>
          <w:p>
            <w:pPr>
              <w:pStyle w:val="TableContents"/>
              <w:bidi w:val="0"/>
              <w:spacing w:before="0" w:after="283"/>
              <w:jc w:val="left"/>
              <w:rPr/>
            </w:pPr>
            <w:r>
              <w:rPr/>
              <w:t> </w:t>
            </w:r>
          </w:p>
        </w:tc>
        <w:tc>
          <w:tcPr>
            <w:tcW w:w="106" w:type="dxa"/>
            <w:tcBorders/>
            <w:shd w:fill="FFFFFF" w:val="clear"/>
            <w:vAlign w:val="center"/>
          </w:tcPr>
          <w:p>
            <w:pPr>
              <w:pStyle w:val="TableContents"/>
              <w:bidi w:val="0"/>
              <w:spacing w:before="0" w:after="283"/>
              <w:jc w:val="left"/>
              <w:rPr/>
            </w:pPr>
            <w:r>
              <w:rPr/>
              <w:t> </w:t>
            </w:r>
          </w:p>
        </w:tc>
        <w:tc>
          <w:tcPr>
            <w:tcW w:w="106" w:type="dxa"/>
            <w:tcBorders/>
            <w:shd w:fill="FFFFFF" w:val="clear"/>
            <w:vAlign w:val="center"/>
          </w:tcPr>
          <w:p>
            <w:pPr>
              <w:pStyle w:val="TableContents"/>
              <w:bidi w:val="0"/>
              <w:spacing w:before="0" w:after="283"/>
              <w:jc w:val="left"/>
              <w:rPr/>
            </w:pPr>
            <w:r>
              <w:rPr/>
              <w:t> </w:t>
            </w:r>
          </w:p>
        </w:tc>
        <w:tc>
          <w:tcPr>
            <w:tcW w:w="221" w:type="dxa"/>
            <w:tcBorders/>
            <w:shd w:fill="FFFFFF" w:val="clear"/>
            <w:vAlign w:val="center"/>
          </w:tcPr>
          <w:p>
            <w:pPr>
              <w:pStyle w:val="TableContents"/>
              <w:bidi w:val="0"/>
              <w:spacing w:before="0" w:after="283"/>
              <w:jc w:val="left"/>
              <w:rPr/>
            </w:pPr>
            <w:r>
              <w:rPr/>
              <w:t> </w:t>
            </w:r>
          </w:p>
        </w:tc>
        <w:tc>
          <w:tcPr>
            <w:tcW w:w="1235" w:type="dxa"/>
            <w:tcBorders/>
            <w:shd w:fill="FFFFFF" w:val="clear"/>
            <w:vAlign w:val="center"/>
          </w:tcPr>
          <w:p>
            <w:pPr>
              <w:pStyle w:val="TableContents"/>
              <w:bidi w:val="0"/>
              <w:spacing w:before="0" w:after="283"/>
              <w:jc w:val="left"/>
              <w:rPr/>
            </w:pPr>
            <w:r>
              <w:rPr/>
              <w:t> </w:t>
            </w:r>
          </w:p>
        </w:tc>
        <w:tc>
          <w:tcPr>
            <w:tcW w:w="65" w:type="dxa"/>
            <w:tcBorders/>
            <w:shd w:fill="FFFFFF" w:val="clear"/>
            <w:vAlign w:val="center"/>
          </w:tcPr>
          <w:p>
            <w:pPr>
              <w:pStyle w:val="TableContents"/>
              <w:bidi w:val="0"/>
              <w:spacing w:before="0" w:after="283"/>
              <w:jc w:val="left"/>
              <w:rPr/>
            </w:pPr>
            <w:r>
              <w:rPr/>
              <w:t> </w:t>
            </w:r>
          </w:p>
        </w:tc>
        <w:tc>
          <w:tcPr>
            <w:tcW w:w="65" w:type="dxa"/>
            <w:tcBorders/>
            <w:shd w:fill="FFFFFF" w:val="clear"/>
            <w:vAlign w:val="center"/>
          </w:tcPr>
          <w:p>
            <w:pPr>
              <w:pStyle w:val="TableContents"/>
              <w:bidi w:val="0"/>
              <w:spacing w:before="0" w:after="283"/>
              <w:jc w:val="left"/>
              <w:rPr/>
            </w:pPr>
            <w:r>
              <w:rPr/>
              <w:t> </w:t>
            </w:r>
          </w:p>
        </w:tc>
        <w:tc>
          <w:tcPr>
            <w:tcW w:w="137" w:type="dxa"/>
            <w:tcBorders/>
            <w:shd w:fill="FFFFFF" w:val="clear"/>
            <w:vAlign w:val="center"/>
          </w:tcPr>
          <w:p>
            <w:pPr>
              <w:pStyle w:val="TableContents"/>
              <w:bidi w:val="0"/>
              <w:spacing w:before="0" w:after="283"/>
              <w:jc w:val="left"/>
              <w:rPr/>
            </w:pPr>
            <w:r>
              <w:rPr/>
              <w:t> </w:t>
            </w:r>
          </w:p>
        </w:tc>
        <w:tc>
          <w:tcPr>
            <w:tcW w:w="827" w:type="dxa"/>
            <w:tcBorders/>
            <w:shd w:fill="FFFFFF" w:val="clear"/>
            <w:vAlign w:val="center"/>
          </w:tcPr>
          <w:p>
            <w:pPr>
              <w:pStyle w:val="TableContents"/>
              <w:bidi w:val="0"/>
              <w:spacing w:before="0" w:after="283"/>
              <w:jc w:val="left"/>
              <w:rPr/>
            </w:pPr>
            <w:r>
              <w:rPr/>
              <w:t> </w:t>
            </w:r>
          </w:p>
        </w:tc>
        <w:tc>
          <w:tcPr>
            <w:tcW w:w="87" w:type="dxa"/>
            <w:tcBorders/>
            <w:shd w:fill="FFFFFF" w:val="clear"/>
            <w:vAlign w:val="center"/>
          </w:tcPr>
          <w:p>
            <w:pPr>
              <w:pStyle w:val="TableContents"/>
              <w:bidi w:val="0"/>
              <w:spacing w:before="0" w:after="283"/>
              <w:jc w:val="left"/>
              <w:rPr/>
            </w:pPr>
            <w:r>
              <w:rPr/>
              <w:t> </w:t>
            </w:r>
          </w:p>
        </w:tc>
        <w:tc>
          <w:tcPr>
            <w:tcW w:w="65" w:type="dxa"/>
            <w:tcBorders/>
            <w:shd w:fill="FFFFFF" w:val="clear"/>
            <w:vAlign w:val="center"/>
          </w:tcPr>
          <w:p>
            <w:pPr>
              <w:pStyle w:val="TableContents"/>
              <w:bidi w:val="0"/>
              <w:spacing w:before="0" w:after="283"/>
              <w:jc w:val="left"/>
              <w:rPr/>
            </w:pPr>
            <w:r>
              <w:rPr/>
              <w:t> </w:t>
            </w:r>
          </w:p>
        </w:tc>
        <w:tc>
          <w:tcPr>
            <w:tcW w:w="124" w:type="dxa"/>
            <w:tcBorders/>
            <w:shd w:fill="FFFFFF" w:val="clear"/>
            <w:vAlign w:val="center"/>
          </w:tcPr>
          <w:p>
            <w:pPr>
              <w:pStyle w:val="TableContents"/>
              <w:bidi w:val="0"/>
              <w:spacing w:before="0" w:after="283"/>
              <w:jc w:val="left"/>
              <w:rPr/>
            </w:pPr>
            <w:r>
              <w:rPr/>
              <w:t> </w:t>
            </w:r>
          </w:p>
        </w:tc>
        <w:tc>
          <w:tcPr>
            <w:tcW w:w="604" w:type="dxa"/>
            <w:tcBorders/>
            <w:shd w:fill="FFFFFF" w:val="clear"/>
            <w:vAlign w:val="center"/>
          </w:tcPr>
          <w:p>
            <w:pPr>
              <w:pStyle w:val="TableContents"/>
              <w:bidi w:val="0"/>
              <w:spacing w:before="0" w:after="283"/>
              <w:jc w:val="left"/>
              <w:rPr/>
            </w:pPr>
            <w:r>
              <w:rPr/>
              <w:t> </w:t>
            </w:r>
          </w:p>
        </w:tc>
        <w:tc>
          <w:tcPr>
            <w:tcW w:w="245" w:type="dxa"/>
            <w:tcBorders/>
            <w:shd w:fill="FFFFFF" w:val="clear"/>
            <w:vAlign w:val="center"/>
          </w:tcPr>
          <w:p>
            <w:pPr>
              <w:pStyle w:val="TableContents"/>
              <w:bidi w:val="0"/>
              <w:spacing w:before="0" w:after="283"/>
              <w:jc w:val="left"/>
              <w:rPr/>
            </w:pPr>
            <w:r>
              <w:rPr/>
              <w:t> </w:t>
            </w:r>
          </w:p>
        </w:tc>
      </w:tr>
      <w:tr>
        <w:trPr/>
        <w:tc>
          <w:tcPr>
            <w:tcW w:w="2480" w:type="dxa"/>
            <w:tcBorders/>
            <w:shd w:fill="CCEE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revenue</w:t>
            </w:r>
          </w:p>
        </w:tc>
        <w:tc>
          <w:tcPr>
            <w:tcW w:w="60" w:type="dxa"/>
            <w:tcBorders/>
            <w:shd w:fill="CCEEFF" w:val="clear"/>
            <w:vAlign w:val="center"/>
          </w:tcPr>
          <w:p>
            <w:pPr>
              <w:pStyle w:val="TableContents"/>
              <w:bidi w:val="0"/>
              <w:spacing w:before="0" w:after="283"/>
              <w:ind w:left="0" w:right="0" w:hanging="0"/>
              <w:jc w:val="left"/>
              <w:rPr/>
            </w:pPr>
            <w:r>
              <w:rPr/>
              <w:t> </w:t>
            </w:r>
          </w:p>
        </w:tc>
        <w:tc>
          <w:tcPr>
            <w:tcW w:w="221"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23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5,959</w:t>
            </w:r>
          </w:p>
        </w:tc>
        <w:tc>
          <w:tcPr>
            <w:tcW w:w="106" w:type="dxa"/>
            <w:tcBorders/>
            <w:shd w:fill="CCEEFF" w:val="clear"/>
            <w:vAlign w:val="center"/>
          </w:tcPr>
          <w:p>
            <w:pPr>
              <w:pStyle w:val="TableContents"/>
              <w:bidi w:val="0"/>
              <w:spacing w:before="0" w:after="283"/>
              <w:jc w:val="left"/>
              <w:rPr/>
            </w:pPr>
            <w:r>
              <w:rPr/>
              <w:t> </w:t>
            </w:r>
          </w:p>
        </w:tc>
        <w:tc>
          <w:tcPr>
            <w:tcW w:w="106" w:type="dxa"/>
            <w:tcBorders/>
            <w:shd w:fill="CCEEFF" w:val="clear"/>
            <w:vAlign w:val="center"/>
          </w:tcPr>
          <w:p>
            <w:pPr>
              <w:pStyle w:val="TableContents"/>
              <w:bidi w:val="0"/>
              <w:spacing w:before="0" w:after="283"/>
              <w:ind w:left="0" w:right="0" w:hanging="0"/>
              <w:jc w:val="left"/>
              <w:rPr/>
            </w:pPr>
            <w:r>
              <w:rPr/>
              <w:t> </w:t>
            </w:r>
          </w:p>
        </w:tc>
        <w:tc>
          <w:tcPr>
            <w:tcW w:w="221"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23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16,394</w:t>
            </w:r>
          </w:p>
        </w:tc>
        <w:tc>
          <w:tcPr>
            <w:tcW w:w="65" w:type="dxa"/>
            <w:tcBorders/>
            <w:shd w:fill="CCEEFF" w:val="clear"/>
            <w:vAlign w:val="center"/>
          </w:tcPr>
          <w:p>
            <w:pPr>
              <w:pStyle w:val="TableContents"/>
              <w:bidi w:val="0"/>
              <w:spacing w:before="0" w:after="283"/>
              <w:jc w:val="left"/>
              <w:rPr/>
            </w:pPr>
            <w:r>
              <w:rPr/>
              <w:t> </w:t>
            </w:r>
          </w:p>
        </w:tc>
        <w:tc>
          <w:tcPr>
            <w:tcW w:w="65" w:type="dxa"/>
            <w:tcBorders/>
            <w:shd w:fill="CCEEFF" w:val="clear"/>
            <w:vAlign w:val="center"/>
          </w:tcPr>
          <w:p>
            <w:pPr>
              <w:pStyle w:val="TableContents"/>
              <w:bidi w:val="0"/>
              <w:spacing w:before="0" w:after="283"/>
              <w:ind w:left="0" w:right="0" w:hanging="0"/>
              <w:jc w:val="left"/>
              <w:rPr/>
            </w:pPr>
            <w:r>
              <w:rPr/>
              <w:t> </w:t>
            </w:r>
          </w:p>
        </w:tc>
        <w:tc>
          <w:tcPr>
            <w:tcW w:w="137"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27"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(10,435</w:t>
            </w:r>
          </w:p>
        </w:tc>
        <w:tc>
          <w:tcPr>
            <w:tcW w:w="87"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5" w:type="dxa"/>
            <w:tcBorders/>
            <w:shd w:fill="CCEEFF" w:val="clear"/>
            <w:vAlign w:val="center"/>
          </w:tcPr>
          <w:p>
            <w:pPr>
              <w:pStyle w:val="TableContents"/>
              <w:bidi w:val="0"/>
              <w:spacing w:before="0" w:after="283"/>
              <w:jc w:val="left"/>
              <w:rPr/>
            </w:pPr>
            <w:r>
              <w:rPr/>
              <w:t> </w:t>
            </w:r>
          </w:p>
        </w:tc>
        <w:tc>
          <w:tcPr>
            <w:tcW w:w="124"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04"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(64</w:t>
            </w:r>
          </w:p>
        </w:tc>
        <w:tc>
          <w:tcPr>
            <w:tcW w:w="24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24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21" w:type="dxa"/>
            <w:tcBorders/>
            <w:shd w:fill="FFFFFF" w:val="clear"/>
            <w:vAlign w:val="center"/>
          </w:tcPr>
          <w:p>
            <w:pPr>
              <w:pStyle w:val="TableContents"/>
              <w:bidi w:val="0"/>
              <w:spacing w:before="0" w:after="283"/>
              <w:jc w:val="left"/>
              <w:rPr/>
            </w:pPr>
            <w:r>
              <w:rPr/>
              <w:t> </w:t>
            </w:r>
          </w:p>
        </w:tc>
        <w:tc>
          <w:tcPr>
            <w:tcW w:w="1235" w:type="dxa"/>
            <w:tcBorders/>
            <w:shd w:fill="FFFFFF" w:val="clear"/>
            <w:vAlign w:val="center"/>
          </w:tcPr>
          <w:p>
            <w:pPr>
              <w:pStyle w:val="TableContents"/>
              <w:bidi w:val="0"/>
              <w:spacing w:before="0" w:after="283"/>
              <w:jc w:val="left"/>
              <w:rPr/>
            </w:pPr>
            <w:r>
              <w:rPr/>
              <w:t> </w:t>
            </w:r>
          </w:p>
        </w:tc>
        <w:tc>
          <w:tcPr>
            <w:tcW w:w="106" w:type="dxa"/>
            <w:tcBorders/>
            <w:shd w:fill="FFFFFF" w:val="clear"/>
            <w:vAlign w:val="center"/>
          </w:tcPr>
          <w:p>
            <w:pPr>
              <w:pStyle w:val="TableContents"/>
              <w:bidi w:val="0"/>
              <w:spacing w:before="0" w:after="283"/>
              <w:jc w:val="left"/>
              <w:rPr/>
            </w:pPr>
            <w:r>
              <w:rPr/>
              <w:t> </w:t>
            </w:r>
          </w:p>
        </w:tc>
        <w:tc>
          <w:tcPr>
            <w:tcW w:w="106" w:type="dxa"/>
            <w:tcBorders/>
            <w:shd w:fill="FFFFFF" w:val="clear"/>
            <w:vAlign w:val="center"/>
          </w:tcPr>
          <w:p>
            <w:pPr>
              <w:pStyle w:val="TableContents"/>
              <w:bidi w:val="0"/>
              <w:spacing w:before="0" w:after="283"/>
              <w:jc w:val="left"/>
              <w:rPr/>
            </w:pPr>
            <w:r>
              <w:rPr/>
              <w:t> </w:t>
            </w:r>
          </w:p>
        </w:tc>
        <w:tc>
          <w:tcPr>
            <w:tcW w:w="221" w:type="dxa"/>
            <w:tcBorders/>
            <w:shd w:fill="FFFFFF" w:val="clear"/>
            <w:vAlign w:val="center"/>
          </w:tcPr>
          <w:p>
            <w:pPr>
              <w:pStyle w:val="TableContents"/>
              <w:bidi w:val="0"/>
              <w:spacing w:before="0" w:after="283"/>
              <w:jc w:val="left"/>
              <w:rPr/>
            </w:pPr>
            <w:r>
              <w:rPr/>
              <w:t> </w:t>
            </w:r>
          </w:p>
        </w:tc>
        <w:tc>
          <w:tcPr>
            <w:tcW w:w="1235" w:type="dxa"/>
            <w:tcBorders/>
            <w:shd w:fill="FFFFFF" w:val="clear"/>
            <w:vAlign w:val="center"/>
          </w:tcPr>
          <w:p>
            <w:pPr>
              <w:pStyle w:val="TableContents"/>
              <w:bidi w:val="0"/>
              <w:spacing w:before="0" w:after="283"/>
              <w:jc w:val="left"/>
              <w:rPr/>
            </w:pPr>
            <w:r>
              <w:rPr/>
              <w:t> </w:t>
            </w:r>
          </w:p>
        </w:tc>
        <w:tc>
          <w:tcPr>
            <w:tcW w:w="65" w:type="dxa"/>
            <w:tcBorders/>
            <w:shd w:fill="FFFFFF" w:val="clear"/>
            <w:vAlign w:val="center"/>
          </w:tcPr>
          <w:p>
            <w:pPr>
              <w:pStyle w:val="TableContents"/>
              <w:bidi w:val="0"/>
              <w:spacing w:before="0" w:after="283"/>
              <w:jc w:val="left"/>
              <w:rPr/>
            </w:pPr>
            <w:r>
              <w:rPr/>
              <w:t> </w:t>
            </w:r>
          </w:p>
        </w:tc>
        <w:tc>
          <w:tcPr>
            <w:tcW w:w="65" w:type="dxa"/>
            <w:tcBorders/>
            <w:shd w:fill="FFFFFF" w:val="clear"/>
            <w:vAlign w:val="center"/>
          </w:tcPr>
          <w:p>
            <w:pPr>
              <w:pStyle w:val="TableContents"/>
              <w:bidi w:val="0"/>
              <w:spacing w:before="0" w:after="283"/>
              <w:jc w:val="left"/>
              <w:rPr/>
            </w:pPr>
            <w:r>
              <w:rPr/>
              <w:t> </w:t>
            </w:r>
          </w:p>
        </w:tc>
        <w:tc>
          <w:tcPr>
            <w:tcW w:w="137" w:type="dxa"/>
            <w:tcBorders/>
            <w:shd w:fill="FFFFFF" w:val="clear"/>
            <w:vAlign w:val="center"/>
          </w:tcPr>
          <w:p>
            <w:pPr>
              <w:pStyle w:val="TableContents"/>
              <w:bidi w:val="0"/>
              <w:spacing w:before="0" w:after="283"/>
              <w:jc w:val="left"/>
              <w:rPr/>
            </w:pPr>
            <w:r>
              <w:rPr/>
              <w:t> </w:t>
            </w:r>
          </w:p>
        </w:tc>
        <w:tc>
          <w:tcPr>
            <w:tcW w:w="827" w:type="dxa"/>
            <w:tcBorders/>
            <w:shd w:fill="FFFFFF" w:val="clear"/>
            <w:vAlign w:val="center"/>
          </w:tcPr>
          <w:p>
            <w:pPr>
              <w:pStyle w:val="TableContents"/>
              <w:bidi w:val="0"/>
              <w:spacing w:before="0" w:after="283"/>
              <w:jc w:val="left"/>
              <w:rPr/>
            </w:pPr>
            <w:r>
              <w:rPr/>
              <w:t> </w:t>
            </w:r>
          </w:p>
        </w:tc>
        <w:tc>
          <w:tcPr>
            <w:tcW w:w="87" w:type="dxa"/>
            <w:tcBorders/>
            <w:shd w:fill="FFFFFF" w:val="clear"/>
            <w:vAlign w:val="center"/>
          </w:tcPr>
          <w:p>
            <w:pPr>
              <w:pStyle w:val="TableContents"/>
              <w:bidi w:val="0"/>
              <w:spacing w:before="0" w:after="283"/>
              <w:jc w:val="left"/>
              <w:rPr/>
            </w:pPr>
            <w:r>
              <w:rPr/>
              <w:t> </w:t>
            </w:r>
          </w:p>
        </w:tc>
        <w:tc>
          <w:tcPr>
            <w:tcW w:w="65" w:type="dxa"/>
            <w:tcBorders/>
            <w:shd w:fill="FFFFFF" w:val="clear"/>
            <w:vAlign w:val="center"/>
          </w:tcPr>
          <w:p>
            <w:pPr>
              <w:pStyle w:val="TableContents"/>
              <w:bidi w:val="0"/>
              <w:spacing w:before="0" w:after="283"/>
              <w:jc w:val="left"/>
              <w:rPr/>
            </w:pPr>
            <w:r>
              <w:rPr/>
              <w:t> </w:t>
            </w:r>
          </w:p>
        </w:tc>
        <w:tc>
          <w:tcPr>
            <w:tcW w:w="124" w:type="dxa"/>
            <w:tcBorders/>
            <w:shd w:fill="FFFFFF" w:val="clear"/>
            <w:vAlign w:val="center"/>
          </w:tcPr>
          <w:p>
            <w:pPr>
              <w:pStyle w:val="TableContents"/>
              <w:bidi w:val="0"/>
              <w:spacing w:before="0" w:after="283"/>
              <w:jc w:val="left"/>
              <w:rPr/>
            </w:pPr>
            <w:r>
              <w:rPr/>
              <w:t> </w:t>
            </w:r>
          </w:p>
        </w:tc>
        <w:tc>
          <w:tcPr>
            <w:tcW w:w="604" w:type="dxa"/>
            <w:tcBorders/>
            <w:shd w:fill="FFFFFF" w:val="clear"/>
            <w:vAlign w:val="center"/>
          </w:tcPr>
          <w:p>
            <w:pPr>
              <w:pStyle w:val="TableContents"/>
              <w:bidi w:val="0"/>
              <w:spacing w:before="0" w:after="283"/>
              <w:jc w:val="left"/>
              <w:rPr/>
            </w:pPr>
            <w:r>
              <w:rPr/>
              <w:t> </w:t>
            </w:r>
          </w:p>
        </w:tc>
        <w:tc>
          <w:tcPr>
            <w:tcW w:w="245" w:type="dxa"/>
            <w:tcBorders/>
            <w:shd w:fill="FFFFFF" w:val="clear"/>
            <w:vAlign w:val="center"/>
          </w:tcPr>
          <w:p>
            <w:pPr>
              <w:pStyle w:val="TableContents"/>
              <w:bidi w:val="0"/>
              <w:spacing w:before="0" w:after="283"/>
              <w:jc w:val="left"/>
              <w:rPr/>
            </w:pPr>
            <w:r>
              <w:rPr/>
              <w:t> </w:t>
            </w:r>
          </w:p>
        </w:tc>
      </w:tr>
      <w:tr>
        <w:trPr/>
        <w:tc>
          <w:tcPr>
            <w:tcW w:w="2480" w:type="dxa"/>
            <w:tcBorders/>
            <w:shd w:fill="CCEE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Production quantities:</w:t>
            </w:r>
          </w:p>
        </w:tc>
        <w:tc>
          <w:tcPr>
            <w:tcW w:w="60" w:type="dxa"/>
            <w:tcBorders/>
            <w:shd w:fill="CCEEFF" w:val="clear"/>
            <w:vAlign w:val="center"/>
          </w:tcPr>
          <w:p>
            <w:pPr>
              <w:pStyle w:val="TableContents"/>
              <w:bidi w:val="0"/>
              <w:spacing w:before="0" w:after="283"/>
              <w:jc w:val="left"/>
              <w:rPr/>
            </w:pPr>
            <w:r>
              <w:rPr/>
              <w:t> </w:t>
            </w:r>
          </w:p>
        </w:tc>
        <w:tc>
          <w:tcPr>
            <w:tcW w:w="221" w:type="dxa"/>
            <w:tcBorders/>
            <w:shd w:fill="CCEEFF" w:val="clear"/>
            <w:vAlign w:val="center"/>
          </w:tcPr>
          <w:p>
            <w:pPr>
              <w:pStyle w:val="TableContents"/>
              <w:bidi w:val="0"/>
              <w:spacing w:before="0" w:after="283"/>
              <w:jc w:val="left"/>
              <w:rPr/>
            </w:pPr>
            <w:r>
              <w:rPr/>
              <w:t> </w:t>
            </w:r>
          </w:p>
        </w:tc>
        <w:tc>
          <w:tcPr>
            <w:tcW w:w="1235" w:type="dxa"/>
            <w:tcBorders/>
            <w:shd w:fill="CCEEFF" w:val="clear"/>
            <w:vAlign w:val="center"/>
          </w:tcPr>
          <w:p>
            <w:pPr>
              <w:pStyle w:val="TableContents"/>
              <w:bidi w:val="0"/>
              <w:spacing w:before="0" w:after="283"/>
              <w:jc w:val="left"/>
              <w:rPr/>
            </w:pPr>
            <w:r>
              <w:rPr/>
              <w:t> </w:t>
            </w:r>
          </w:p>
        </w:tc>
        <w:tc>
          <w:tcPr>
            <w:tcW w:w="106" w:type="dxa"/>
            <w:tcBorders/>
            <w:shd w:fill="CCEEFF" w:val="clear"/>
            <w:vAlign w:val="center"/>
          </w:tcPr>
          <w:p>
            <w:pPr>
              <w:pStyle w:val="TableContents"/>
              <w:bidi w:val="0"/>
              <w:spacing w:before="0" w:after="283"/>
              <w:jc w:val="left"/>
              <w:rPr/>
            </w:pPr>
            <w:r>
              <w:rPr/>
              <w:t> </w:t>
            </w:r>
          </w:p>
        </w:tc>
        <w:tc>
          <w:tcPr>
            <w:tcW w:w="106" w:type="dxa"/>
            <w:tcBorders/>
            <w:shd w:fill="CCEEFF" w:val="clear"/>
            <w:vAlign w:val="center"/>
          </w:tcPr>
          <w:p>
            <w:pPr>
              <w:pStyle w:val="TableContents"/>
              <w:bidi w:val="0"/>
              <w:spacing w:before="0" w:after="283"/>
              <w:jc w:val="left"/>
              <w:rPr/>
            </w:pPr>
            <w:r>
              <w:rPr/>
              <w:t> </w:t>
            </w:r>
          </w:p>
        </w:tc>
        <w:tc>
          <w:tcPr>
            <w:tcW w:w="221" w:type="dxa"/>
            <w:tcBorders/>
            <w:shd w:fill="CCEEFF" w:val="clear"/>
            <w:vAlign w:val="center"/>
          </w:tcPr>
          <w:p>
            <w:pPr>
              <w:pStyle w:val="TableContents"/>
              <w:bidi w:val="0"/>
              <w:spacing w:before="0" w:after="283"/>
              <w:jc w:val="left"/>
              <w:rPr/>
            </w:pPr>
            <w:r>
              <w:rPr/>
              <w:t> </w:t>
            </w:r>
          </w:p>
        </w:tc>
        <w:tc>
          <w:tcPr>
            <w:tcW w:w="1235" w:type="dxa"/>
            <w:tcBorders/>
            <w:shd w:fill="CCEEFF" w:val="clear"/>
            <w:vAlign w:val="center"/>
          </w:tcPr>
          <w:p>
            <w:pPr>
              <w:pStyle w:val="TableContents"/>
              <w:bidi w:val="0"/>
              <w:spacing w:before="0" w:after="283"/>
              <w:jc w:val="left"/>
              <w:rPr/>
            </w:pPr>
            <w:r>
              <w:rPr/>
              <w:t> </w:t>
            </w:r>
          </w:p>
        </w:tc>
        <w:tc>
          <w:tcPr>
            <w:tcW w:w="65" w:type="dxa"/>
            <w:tcBorders/>
            <w:shd w:fill="CCEEFF" w:val="clear"/>
            <w:vAlign w:val="center"/>
          </w:tcPr>
          <w:p>
            <w:pPr>
              <w:pStyle w:val="TableContents"/>
              <w:bidi w:val="0"/>
              <w:spacing w:before="0" w:after="283"/>
              <w:jc w:val="left"/>
              <w:rPr/>
            </w:pPr>
            <w:r>
              <w:rPr/>
              <w:t> </w:t>
            </w:r>
          </w:p>
        </w:tc>
        <w:tc>
          <w:tcPr>
            <w:tcW w:w="65" w:type="dxa"/>
            <w:tcBorders/>
            <w:shd w:fill="CCEEFF" w:val="clear"/>
            <w:vAlign w:val="center"/>
          </w:tcPr>
          <w:p>
            <w:pPr>
              <w:pStyle w:val="TableContents"/>
              <w:bidi w:val="0"/>
              <w:spacing w:before="0" w:after="283"/>
              <w:jc w:val="left"/>
              <w:rPr/>
            </w:pPr>
            <w:r>
              <w:rPr/>
              <w:t> </w:t>
            </w:r>
          </w:p>
        </w:tc>
        <w:tc>
          <w:tcPr>
            <w:tcW w:w="137" w:type="dxa"/>
            <w:tcBorders/>
            <w:shd w:fill="CCEEFF" w:val="clear"/>
            <w:vAlign w:val="center"/>
          </w:tcPr>
          <w:p>
            <w:pPr>
              <w:pStyle w:val="TableContents"/>
              <w:bidi w:val="0"/>
              <w:spacing w:before="0" w:after="283"/>
              <w:jc w:val="left"/>
              <w:rPr/>
            </w:pPr>
            <w:r>
              <w:rPr/>
              <w:t> </w:t>
            </w:r>
          </w:p>
        </w:tc>
        <w:tc>
          <w:tcPr>
            <w:tcW w:w="827" w:type="dxa"/>
            <w:tcBorders/>
            <w:shd w:fill="CCEEFF" w:val="clear"/>
            <w:vAlign w:val="center"/>
          </w:tcPr>
          <w:p>
            <w:pPr>
              <w:pStyle w:val="TableContents"/>
              <w:bidi w:val="0"/>
              <w:spacing w:before="0" w:after="283"/>
              <w:jc w:val="left"/>
              <w:rPr/>
            </w:pPr>
            <w:r>
              <w:rPr/>
              <w:t> </w:t>
            </w:r>
          </w:p>
        </w:tc>
        <w:tc>
          <w:tcPr>
            <w:tcW w:w="87" w:type="dxa"/>
            <w:tcBorders/>
            <w:shd w:fill="CCEEFF" w:val="clear"/>
            <w:vAlign w:val="center"/>
          </w:tcPr>
          <w:p>
            <w:pPr>
              <w:pStyle w:val="TableContents"/>
              <w:bidi w:val="0"/>
              <w:spacing w:before="0" w:after="283"/>
              <w:jc w:val="left"/>
              <w:rPr/>
            </w:pPr>
            <w:r>
              <w:rPr/>
              <w:t> </w:t>
            </w:r>
          </w:p>
        </w:tc>
        <w:tc>
          <w:tcPr>
            <w:tcW w:w="65" w:type="dxa"/>
            <w:tcBorders/>
            <w:shd w:fill="CCEEFF" w:val="clear"/>
            <w:vAlign w:val="center"/>
          </w:tcPr>
          <w:p>
            <w:pPr>
              <w:pStyle w:val="TableContents"/>
              <w:bidi w:val="0"/>
              <w:spacing w:before="0" w:after="283"/>
              <w:jc w:val="left"/>
              <w:rPr/>
            </w:pPr>
            <w:r>
              <w:rPr/>
              <w:t> </w:t>
            </w:r>
          </w:p>
        </w:tc>
        <w:tc>
          <w:tcPr>
            <w:tcW w:w="124" w:type="dxa"/>
            <w:tcBorders/>
            <w:shd w:fill="CCEEFF" w:val="clear"/>
            <w:vAlign w:val="center"/>
          </w:tcPr>
          <w:p>
            <w:pPr>
              <w:pStyle w:val="TableContents"/>
              <w:bidi w:val="0"/>
              <w:spacing w:before="0" w:after="283"/>
              <w:jc w:val="left"/>
              <w:rPr/>
            </w:pPr>
            <w:r>
              <w:rPr/>
              <w:t> </w:t>
            </w:r>
          </w:p>
        </w:tc>
        <w:tc>
          <w:tcPr>
            <w:tcW w:w="604" w:type="dxa"/>
            <w:tcBorders/>
            <w:shd w:fill="CCEEFF" w:val="clear"/>
            <w:vAlign w:val="center"/>
          </w:tcPr>
          <w:p>
            <w:pPr>
              <w:pStyle w:val="TableContents"/>
              <w:bidi w:val="0"/>
              <w:spacing w:before="0" w:after="283"/>
              <w:jc w:val="left"/>
              <w:rPr/>
            </w:pPr>
            <w:r>
              <w:rPr/>
              <w:t> </w:t>
            </w:r>
          </w:p>
        </w:tc>
        <w:tc>
          <w:tcPr>
            <w:tcW w:w="245" w:type="dxa"/>
            <w:tcBorders/>
            <w:shd w:fill="CCEEFF" w:val="clear"/>
            <w:vAlign w:val="center"/>
          </w:tcPr>
          <w:p>
            <w:pPr>
              <w:pStyle w:val="TableContents"/>
              <w:bidi w:val="0"/>
              <w:spacing w:before="0" w:after="283"/>
              <w:jc w:val="left"/>
              <w:rPr/>
            </w:pPr>
            <w:r>
              <w:rPr/>
              <w:t> </w:t>
            </w:r>
          </w:p>
        </w:tc>
      </w:tr>
      <w:tr>
        <w:trPr/>
        <w:tc>
          <w:tcPr>
            <w:tcW w:w="2480"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Oil (Bbls)</w:t>
            </w:r>
          </w:p>
        </w:tc>
        <w:tc>
          <w:tcPr>
            <w:tcW w:w="60" w:type="dxa"/>
            <w:tcBorders/>
            <w:shd w:fill="FFFFFF" w:val="clear"/>
            <w:vAlign w:val="center"/>
          </w:tcPr>
          <w:p>
            <w:pPr>
              <w:pStyle w:val="TableContents"/>
              <w:bidi w:val="0"/>
              <w:spacing w:before="0" w:after="283"/>
              <w:jc w:val="left"/>
              <w:rPr/>
            </w:pPr>
            <w:r>
              <w:rPr/>
              <w:t> </w:t>
            </w:r>
          </w:p>
        </w:tc>
        <w:tc>
          <w:tcPr>
            <w:tcW w:w="221" w:type="dxa"/>
            <w:tcBorders/>
            <w:shd w:fill="FFFFFF" w:val="clear"/>
            <w:vAlign w:val="center"/>
          </w:tcPr>
          <w:p>
            <w:pPr>
              <w:pStyle w:val="TableContents"/>
              <w:bidi w:val="0"/>
              <w:spacing w:before="0" w:after="283"/>
              <w:ind w:left="0" w:right="0" w:hanging="0"/>
              <w:jc w:val="left"/>
              <w:rPr/>
            </w:pPr>
            <w:r>
              <w:rPr/>
              <w:t> </w:t>
            </w:r>
          </w:p>
        </w:tc>
        <w:tc>
          <w:tcPr>
            <w:tcW w:w="123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89,837</w:t>
            </w:r>
          </w:p>
        </w:tc>
        <w:tc>
          <w:tcPr>
            <w:tcW w:w="106" w:type="dxa"/>
            <w:tcBorders/>
            <w:shd w:fill="FFFFFF" w:val="clear"/>
            <w:vAlign w:val="center"/>
          </w:tcPr>
          <w:p>
            <w:pPr>
              <w:pStyle w:val="TableContents"/>
              <w:bidi w:val="0"/>
              <w:spacing w:before="0" w:after="283"/>
              <w:jc w:val="left"/>
              <w:rPr/>
            </w:pPr>
            <w:r>
              <w:rPr/>
              <w:t> </w:t>
            </w:r>
          </w:p>
        </w:tc>
        <w:tc>
          <w:tcPr>
            <w:tcW w:w="106" w:type="dxa"/>
            <w:tcBorders/>
            <w:shd w:fill="FFFFFF" w:val="clear"/>
            <w:vAlign w:val="center"/>
          </w:tcPr>
          <w:p>
            <w:pPr>
              <w:pStyle w:val="TableContents"/>
              <w:bidi w:val="0"/>
              <w:spacing w:before="0" w:after="283"/>
              <w:jc w:val="left"/>
              <w:rPr/>
            </w:pPr>
            <w:r>
              <w:rPr/>
              <w:t> </w:t>
            </w:r>
          </w:p>
        </w:tc>
        <w:tc>
          <w:tcPr>
            <w:tcW w:w="221" w:type="dxa"/>
            <w:tcBorders/>
            <w:shd w:fill="FFFFFF" w:val="clear"/>
            <w:vAlign w:val="center"/>
          </w:tcPr>
          <w:p>
            <w:pPr>
              <w:pStyle w:val="TableContents"/>
              <w:bidi w:val="0"/>
              <w:spacing w:before="0" w:after="283"/>
              <w:ind w:left="0" w:right="0" w:hanging="0"/>
              <w:jc w:val="left"/>
              <w:rPr/>
            </w:pPr>
            <w:r>
              <w:rPr/>
              <w:t> </w:t>
            </w:r>
          </w:p>
        </w:tc>
        <w:tc>
          <w:tcPr>
            <w:tcW w:w="123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201,417</w:t>
            </w:r>
          </w:p>
        </w:tc>
        <w:tc>
          <w:tcPr>
            <w:tcW w:w="65" w:type="dxa"/>
            <w:tcBorders/>
            <w:shd w:fill="FFFFFF" w:val="clear"/>
            <w:vAlign w:val="center"/>
          </w:tcPr>
          <w:p>
            <w:pPr>
              <w:pStyle w:val="TableContents"/>
              <w:bidi w:val="0"/>
              <w:spacing w:before="0" w:after="283"/>
              <w:jc w:val="left"/>
              <w:rPr/>
            </w:pPr>
            <w:r>
              <w:rPr/>
              <w:t> </w:t>
            </w:r>
          </w:p>
        </w:tc>
        <w:tc>
          <w:tcPr>
            <w:tcW w:w="65" w:type="dxa"/>
            <w:tcBorders/>
            <w:shd w:fill="FFFFFF" w:val="clear"/>
            <w:vAlign w:val="center"/>
          </w:tcPr>
          <w:p>
            <w:pPr>
              <w:pStyle w:val="TableContents"/>
              <w:bidi w:val="0"/>
              <w:spacing w:before="0" w:after="283"/>
              <w:jc w:val="left"/>
              <w:rPr/>
            </w:pPr>
            <w:r>
              <w:rPr/>
              <w:t> </w:t>
            </w:r>
          </w:p>
        </w:tc>
        <w:tc>
          <w:tcPr>
            <w:tcW w:w="137" w:type="dxa"/>
            <w:tcBorders/>
            <w:shd w:fill="FFFFFF" w:val="clear"/>
            <w:vAlign w:val="center"/>
          </w:tcPr>
          <w:p>
            <w:pPr>
              <w:pStyle w:val="TableContents"/>
              <w:bidi w:val="0"/>
              <w:spacing w:before="0" w:after="283"/>
              <w:ind w:left="0" w:right="0" w:hanging="0"/>
              <w:jc w:val="left"/>
              <w:rPr/>
            </w:pPr>
            <w:r>
              <w:rPr/>
              <w:t> </w:t>
            </w:r>
          </w:p>
        </w:tc>
        <w:tc>
          <w:tcPr>
            <w:tcW w:w="827"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(111,580</w:t>
            </w:r>
          </w:p>
        </w:tc>
        <w:tc>
          <w:tcPr>
            <w:tcW w:w="87"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5" w:type="dxa"/>
            <w:tcBorders/>
            <w:shd w:fill="FFFFFF" w:val="clear"/>
            <w:vAlign w:val="center"/>
          </w:tcPr>
          <w:p>
            <w:pPr>
              <w:pStyle w:val="TableContents"/>
              <w:bidi w:val="0"/>
              <w:spacing w:before="0" w:after="283"/>
              <w:jc w:val="left"/>
              <w:rPr/>
            </w:pPr>
            <w:r>
              <w:rPr/>
              <w:t> </w:t>
            </w:r>
          </w:p>
        </w:tc>
        <w:tc>
          <w:tcPr>
            <w:tcW w:w="124" w:type="dxa"/>
            <w:tcBorders/>
            <w:shd w:fill="FFFFFF" w:val="clear"/>
            <w:vAlign w:val="center"/>
          </w:tcPr>
          <w:p>
            <w:pPr>
              <w:pStyle w:val="TableContents"/>
              <w:bidi w:val="0"/>
              <w:spacing w:before="0" w:after="283"/>
              <w:ind w:left="0" w:right="0" w:hanging="0"/>
              <w:jc w:val="left"/>
              <w:rPr/>
            </w:pPr>
            <w:r>
              <w:rPr/>
              <w:t> </w:t>
            </w:r>
          </w:p>
        </w:tc>
        <w:tc>
          <w:tcPr>
            <w:tcW w:w="604"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(55</w:t>
            </w:r>
          </w:p>
        </w:tc>
        <w:tc>
          <w:tcPr>
            <w:tcW w:w="24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2480"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Natural gas and liquids (Mcfe)</w:t>
            </w:r>
          </w:p>
        </w:tc>
        <w:tc>
          <w:tcPr>
            <w:tcW w:w="60" w:type="dxa"/>
            <w:tcBorders/>
            <w:shd w:fill="CCEEFF" w:val="clear"/>
            <w:vAlign w:val="center"/>
          </w:tcPr>
          <w:p>
            <w:pPr>
              <w:pStyle w:val="TableContents"/>
              <w:bidi w:val="0"/>
              <w:spacing w:before="0" w:after="283"/>
              <w:jc w:val="left"/>
              <w:rPr/>
            </w:pPr>
            <w:r>
              <w:rPr/>
              <w:t> </w:t>
            </w:r>
          </w:p>
        </w:tc>
        <w:tc>
          <w:tcPr>
            <w:tcW w:w="221" w:type="dxa"/>
            <w:tcBorders/>
            <w:shd w:fill="CCEEFF" w:val="clear"/>
            <w:vAlign w:val="center"/>
          </w:tcPr>
          <w:p>
            <w:pPr>
              <w:pStyle w:val="TableContents"/>
              <w:bidi w:val="0"/>
              <w:spacing w:before="0" w:after="283"/>
              <w:ind w:left="0" w:right="0" w:hanging="0"/>
              <w:jc w:val="left"/>
              <w:rPr/>
            </w:pPr>
            <w:r>
              <w:rPr/>
              <w:t> </w:t>
            </w:r>
          </w:p>
        </w:tc>
        <w:tc>
          <w:tcPr>
            <w:tcW w:w="123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247,878</w:t>
            </w:r>
          </w:p>
        </w:tc>
        <w:tc>
          <w:tcPr>
            <w:tcW w:w="106" w:type="dxa"/>
            <w:tcBorders/>
            <w:shd w:fill="CCEEFF" w:val="clear"/>
            <w:vAlign w:val="center"/>
          </w:tcPr>
          <w:p>
            <w:pPr>
              <w:pStyle w:val="TableContents"/>
              <w:bidi w:val="0"/>
              <w:spacing w:before="0" w:after="283"/>
              <w:jc w:val="left"/>
              <w:rPr/>
            </w:pPr>
            <w:r>
              <w:rPr/>
              <w:t> </w:t>
            </w:r>
          </w:p>
        </w:tc>
        <w:tc>
          <w:tcPr>
            <w:tcW w:w="106" w:type="dxa"/>
            <w:tcBorders/>
            <w:shd w:fill="CCEEFF" w:val="clear"/>
            <w:vAlign w:val="center"/>
          </w:tcPr>
          <w:p>
            <w:pPr>
              <w:pStyle w:val="TableContents"/>
              <w:bidi w:val="0"/>
              <w:spacing w:before="0" w:after="283"/>
              <w:jc w:val="left"/>
              <w:rPr/>
            </w:pPr>
            <w:r>
              <w:rPr/>
              <w:t> </w:t>
            </w:r>
          </w:p>
        </w:tc>
        <w:tc>
          <w:tcPr>
            <w:tcW w:w="221" w:type="dxa"/>
            <w:tcBorders/>
            <w:shd w:fill="CCEEFF" w:val="clear"/>
            <w:vAlign w:val="center"/>
          </w:tcPr>
          <w:p>
            <w:pPr>
              <w:pStyle w:val="TableContents"/>
              <w:bidi w:val="0"/>
              <w:spacing w:before="0" w:after="283"/>
              <w:ind w:left="0" w:right="0" w:hanging="0"/>
              <w:jc w:val="left"/>
              <w:rPr/>
            </w:pPr>
            <w:r>
              <w:rPr/>
              <w:t> </w:t>
            </w:r>
          </w:p>
        </w:tc>
        <w:tc>
          <w:tcPr>
            <w:tcW w:w="123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751,036</w:t>
            </w:r>
          </w:p>
        </w:tc>
        <w:tc>
          <w:tcPr>
            <w:tcW w:w="65" w:type="dxa"/>
            <w:tcBorders/>
            <w:shd w:fill="CCEEFF" w:val="clear"/>
            <w:vAlign w:val="center"/>
          </w:tcPr>
          <w:p>
            <w:pPr>
              <w:pStyle w:val="TableContents"/>
              <w:bidi w:val="0"/>
              <w:spacing w:before="0" w:after="283"/>
              <w:jc w:val="left"/>
              <w:rPr/>
            </w:pPr>
            <w:r>
              <w:rPr/>
              <w:t> </w:t>
            </w:r>
          </w:p>
        </w:tc>
        <w:tc>
          <w:tcPr>
            <w:tcW w:w="65" w:type="dxa"/>
            <w:tcBorders/>
            <w:shd w:fill="CCEEFF" w:val="clear"/>
            <w:vAlign w:val="center"/>
          </w:tcPr>
          <w:p>
            <w:pPr>
              <w:pStyle w:val="TableContents"/>
              <w:bidi w:val="0"/>
              <w:spacing w:before="0" w:after="283"/>
              <w:jc w:val="left"/>
              <w:rPr/>
            </w:pPr>
            <w:r>
              <w:rPr/>
              <w:t> </w:t>
            </w:r>
          </w:p>
        </w:tc>
        <w:tc>
          <w:tcPr>
            <w:tcW w:w="137" w:type="dxa"/>
            <w:tcBorders/>
            <w:shd w:fill="CCEEFF" w:val="clear"/>
            <w:vAlign w:val="center"/>
          </w:tcPr>
          <w:p>
            <w:pPr>
              <w:pStyle w:val="TableContents"/>
              <w:bidi w:val="0"/>
              <w:spacing w:before="0" w:after="283"/>
              <w:ind w:left="0" w:right="0" w:hanging="0"/>
              <w:jc w:val="left"/>
              <w:rPr/>
            </w:pPr>
            <w:r>
              <w:rPr/>
              <w:t> </w:t>
            </w:r>
          </w:p>
        </w:tc>
        <w:tc>
          <w:tcPr>
            <w:tcW w:w="827"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(503,158</w:t>
            </w:r>
          </w:p>
        </w:tc>
        <w:tc>
          <w:tcPr>
            <w:tcW w:w="87"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5" w:type="dxa"/>
            <w:tcBorders/>
            <w:shd w:fill="CCEEFF" w:val="clear"/>
            <w:vAlign w:val="center"/>
          </w:tcPr>
          <w:p>
            <w:pPr>
              <w:pStyle w:val="TableContents"/>
              <w:bidi w:val="0"/>
              <w:spacing w:before="0" w:after="283"/>
              <w:jc w:val="left"/>
              <w:rPr/>
            </w:pPr>
            <w:r>
              <w:rPr/>
              <w:t> </w:t>
            </w:r>
          </w:p>
        </w:tc>
        <w:tc>
          <w:tcPr>
            <w:tcW w:w="124" w:type="dxa"/>
            <w:tcBorders/>
            <w:shd w:fill="CCEEFF" w:val="clear"/>
            <w:vAlign w:val="center"/>
          </w:tcPr>
          <w:p>
            <w:pPr>
              <w:pStyle w:val="TableContents"/>
              <w:bidi w:val="0"/>
              <w:spacing w:before="0" w:after="283"/>
              <w:ind w:left="0" w:right="0" w:hanging="0"/>
              <w:jc w:val="left"/>
              <w:rPr/>
            </w:pPr>
            <w:r>
              <w:rPr/>
              <w:t> </w:t>
            </w:r>
          </w:p>
        </w:tc>
        <w:tc>
          <w:tcPr>
            <w:tcW w:w="604"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(67</w:t>
            </w:r>
          </w:p>
        </w:tc>
        <w:tc>
          <w:tcPr>
            <w:tcW w:w="24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2480"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BOE</w:t>
            </w:r>
          </w:p>
        </w:tc>
        <w:tc>
          <w:tcPr>
            <w:tcW w:w="60" w:type="dxa"/>
            <w:tcBorders/>
            <w:shd w:fill="FFFFFF" w:val="clear"/>
            <w:vAlign w:val="center"/>
          </w:tcPr>
          <w:p>
            <w:pPr>
              <w:pStyle w:val="TableContents"/>
              <w:bidi w:val="0"/>
              <w:spacing w:before="0" w:after="283"/>
              <w:jc w:val="left"/>
              <w:rPr/>
            </w:pPr>
            <w:r>
              <w:rPr/>
              <w:t> </w:t>
            </w:r>
          </w:p>
        </w:tc>
        <w:tc>
          <w:tcPr>
            <w:tcW w:w="221" w:type="dxa"/>
            <w:tcBorders/>
            <w:shd w:fill="FFFFFF" w:val="clear"/>
            <w:vAlign w:val="center"/>
          </w:tcPr>
          <w:p>
            <w:pPr>
              <w:pStyle w:val="TableContents"/>
              <w:bidi w:val="0"/>
              <w:spacing w:before="0" w:after="283"/>
              <w:ind w:left="0" w:right="0" w:hanging="0"/>
              <w:jc w:val="left"/>
              <w:rPr/>
            </w:pPr>
            <w:r>
              <w:rPr/>
              <w:t> </w:t>
            </w:r>
          </w:p>
        </w:tc>
        <w:tc>
          <w:tcPr>
            <w:tcW w:w="123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131,150</w:t>
            </w:r>
          </w:p>
        </w:tc>
        <w:tc>
          <w:tcPr>
            <w:tcW w:w="106" w:type="dxa"/>
            <w:tcBorders/>
            <w:shd w:fill="FFFFFF" w:val="clear"/>
            <w:vAlign w:val="center"/>
          </w:tcPr>
          <w:p>
            <w:pPr>
              <w:pStyle w:val="TableContents"/>
              <w:bidi w:val="0"/>
              <w:spacing w:before="0" w:after="283"/>
              <w:jc w:val="left"/>
              <w:rPr/>
            </w:pPr>
            <w:r>
              <w:rPr/>
              <w:t> </w:t>
            </w:r>
          </w:p>
        </w:tc>
        <w:tc>
          <w:tcPr>
            <w:tcW w:w="106" w:type="dxa"/>
            <w:tcBorders/>
            <w:shd w:fill="FFFFFF" w:val="clear"/>
            <w:vAlign w:val="center"/>
          </w:tcPr>
          <w:p>
            <w:pPr>
              <w:pStyle w:val="TableContents"/>
              <w:bidi w:val="0"/>
              <w:spacing w:before="0" w:after="283"/>
              <w:jc w:val="left"/>
              <w:rPr/>
            </w:pPr>
            <w:r>
              <w:rPr/>
              <w:t> </w:t>
            </w:r>
          </w:p>
        </w:tc>
        <w:tc>
          <w:tcPr>
            <w:tcW w:w="221" w:type="dxa"/>
            <w:tcBorders/>
            <w:shd w:fill="FFFFFF" w:val="clear"/>
            <w:vAlign w:val="center"/>
          </w:tcPr>
          <w:p>
            <w:pPr>
              <w:pStyle w:val="TableContents"/>
              <w:bidi w:val="0"/>
              <w:spacing w:before="0" w:after="283"/>
              <w:ind w:left="0" w:right="0" w:hanging="0"/>
              <w:jc w:val="left"/>
              <w:rPr/>
            </w:pPr>
            <w:r>
              <w:rPr/>
              <w:t> </w:t>
            </w:r>
          </w:p>
        </w:tc>
        <w:tc>
          <w:tcPr>
            <w:tcW w:w="123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326,589</w:t>
            </w:r>
          </w:p>
        </w:tc>
        <w:tc>
          <w:tcPr>
            <w:tcW w:w="65" w:type="dxa"/>
            <w:tcBorders/>
            <w:shd w:fill="FFFFFF" w:val="clear"/>
            <w:vAlign w:val="center"/>
          </w:tcPr>
          <w:p>
            <w:pPr>
              <w:pStyle w:val="TableContents"/>
              <w:bidi w:val="0"/>
              <w:spacing w:before="0" w:after="283"/>
              <w:jc w:val="left"/>
              <w:rPr/>
            </w:pPr>
            <w:r>
              <w:rPr/>
              <w:t> </w:t>
            </w:r>
          </w:p>
        </w:tc>
        <w:tc>
          <w:tcPr>
            <w:tcW w:w="65" w:type="dxa"/>
            <w:tcBorders/>
            <w:shd w:fill="FFFFFF" w:val="clear"/>
            <w:vAlign w:val="center"/>
          </w:tcPr>
          <w:p>
            <w:pPr>
              <w:pStyle w:val="TableContents"/>
              <w:bidi w:val="0"/>
              <w:spacing w:before="0" w:after="283"/>
              <w:jc w:val="left"/>
              <w:rPr/>
            </w:pPr>
            <w:r>
              <w:rPr/>
              <w:t> </w:t>
            </w:r>
          </w:p>
        </w:tc>
        <w:tc>
          <w:tcPr>
            <w:tcW w:w="137" w:type="dxa"/>
            <w:tcBorders/>
            <w:shd w:fill="FFFFFF" w:val="clear"/>
            <w:vAlign w:val="center"/>
          </w:tcPr>
          <w:p>
            <w:pPr>
              <w:pStyle w:val="TableContents"/>
              <w:bidi w:val="0"/>
              <w:spacing w:before="0" w:after="283"/>
              <w:ind w:left="0" w:right="0" w:hanging="0"/>
              <w:jc w:val="left"/>
              <w:rPr/>
            </w:pPr>
            <w:r>
              <w:rPr/>
              <w:t> </w:t>
            </w:r>
          </w:p>
        </w:tc>
        <w:tc>
          <w:tcPr>
            <w:tcW w:w="827"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(195,439</w:t>
            </w:r>
          </w:p>
        </w:tc>
        <w:tc>
          <w:tcPr>
            <w:tcW w:w="87"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5" w:type="dxa"/>
            <w:tcBorders/>
            <w:shd w:fill="FFFFFF" w:val="clear"/>
            <w:vAlign w:val="center"/>
          </w:tcPr>
          <w:p>
            <w:pPr>
              <w:pStyle w:val="TableContents"/>
              <w:bidi w:val="0"/>
              <w:spacing w:before="0" w:after="283"/>
              <w:jc w:val="left"/>
              <w:rPr/>
            </w:pPr>
            <w:r>
              <w:rPr/>
              <w:t> </w:t>
            </w:r>
          </w:p>
        </w:tc>
        <w:tc>
          <w:tcPr>
            <w:tcW w:w="124" w:type="dxa"/>
            <w:tcBorders/>
            <w:shd w:fill="FFFFFF" w:val="clear"/>
            <w:vAlign w:val="center"/>
          </w:tcPr>
          <w:p>
            <w:pPr>
              <w:pStyle w:val="TableContents"/>
              <w:bidi w:val="0"/>
              <w:spacing w:before="0" w:after="283"/>
              <w:ind w:left="0" w:right="0" w:hanging="0"/>
              <w:jc w:val="left"/>
              <w:rPr/>
            </w:pPr>
            <w:r>
              <w:rPr/>
              <w:t> </w:t>
            </w:r>
          </w:p>
        </w:tc>
        <w:tc>
          <w:tcPr>
            <w:tcW w:w="604"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(60</w:t>
            </w:r>
          </w:p>
        </w:tc>
        <w:tc>
          <w:tcPr>
            <w:tcW w:w="24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2480"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BOE/Day</w:t>
            </w:r>
          </w:p>
        </w:tc>
        <w:tc>
          <w:tcPr>
            <w:tcW w:w="60" w:type="dxa"/>
            <w:tcBorders/>
            <w:shd w:fill="CCEEFF" w:val="clear"/>
            <w:vAlign w:val="center"/>
          </w:tcPr>
          <w:p>
            <w:pPr>
              <w:pStyle w:val="TableContents"/>
              <w:bidi w:val="0"/>
              <w:spacing w:before="0" w:after="283"/>
              <w:jc w:val="left"/>
              <w:rPr/>
            </w:pPr>
            <w:r>
              <w:rPr/>
              <w:t> </w:t>
            </w:r>
          </w:p>
        </w:tc>
        <w:tc>
          <w:tcPr>
            <w:tcW w:w="221" w:type="dxa"/>
            <w:tcBorders/>
            <w:shd w:fill="CCEEFF" w:val="clear"/>
            <w:vAlign w:val="center"/>
          </w:tcPr>
          <w:p>
            <w:pPr>
              <w:pStyle w:val="TableContents"/>
              <w:bidi w:val="0"/>
              <w:spacing w:before="0" w:after="283"/>
              <w:ind w:left="0" w:right="0" w:hanging="0"/>
              <w:jc w:val="left"/>
              <w:rPr/>
            </w:pPr>
            <w:r>
              <w:rPr/>
              <w:t> </w:t>
            </w:r>
          </w:p>
        </w:tc>
        <w:tc>
          <w:tcPr>
            <w:tcW w:w="123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480</w:t>
            </w:r>
          </w:p>
        </w:tc>
        <w:tc>
          <w:tcPr>
            <w:tcW w:w="106" w:type="dxa"/>
            <w:tcBorders/>
            <w:shd w:fill="CCEEFF" w:val="clear"/>
            <w:vAlign w:val="center"/>
          </w:tcPr>
          <w:p>
            <w:pPr>
              <w:pStyle w:val="TableContents"/>
              <w:bidi w:val="0"/>
              <w:spacing w:before="0" w:after="283"/>
              <w:jc w:val="left"/>
              <w:rPr/>
            </w:pPr>
            <w:r>
              <w:rPr/>
              <w:t> </w:t>
            </w:r>
          </w:p>
        </w:tc>
        <w:tc>
          <w:tcPr>
            <w:tcW w:w="106" w:type="dxa"/>
            <w:tcBorders/>
            <w:shd w:fill="CCEEFF" w:val="clear"/>
            <w:vAlign w:val="center"/>
          </w:tcPr>
          <w:p>
            <w:pPr>
              <w:pStyle w:val="TableContents"/>
              <w:bidi w:val="0"/>
              <w:spacing w:before="0" w:after="283"/>
              <w:jc w:val="left"/>
              <w:rPr/>
            </w:pPr>
            <w:r>
              <w:rPr/>
              <w:t> </w:t>
            </w:r>
          </w:p>
        </w:tc>
        <w:tc>
          <w:tcPr>
            <w:tcW w:w="221" w:type="dxa"/>
            <w:tcBorders/>
            <w:shd w:fill="CCEEFF" w:val="clear"/>
            <w:vAlign w:val="center"/>
          </w:tcPr>
          <w:p>
            <w:pPr>
              <w:pStyle w:val="TableContents"/>
              <w:bidi w:val="0"/>
              <w:spacing w:before="0" w:after="283"/>
              <w:ind w:left="0" w:right="0" w:hanging="0"/>
              <w:jc w:val="left"/>
              <w:rPr/>
            </w:pPr>
            <w:r>
              <w:rPr/>
              <w:t> </w:t>
            </w:r>
          </w:p>
        </w:tc>
        <w:tc>
          <w:tcPr>
            <w:tcW w:w="123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1,192</w:t>
            </w:r>
          </w:p>
        </w:tc>
        <w:tc>
          <w:tcPr>
            <w:tcW w:w="65" w:type="dxa"/>
            <w:tcBorders/>
            <w:shd w:fill="CCEEFF" w:val="clear"/>
            <w:vAlign w:val="center"/>
          </w:tcPr>
          <w:p>
            <w:pPr>
              <w:pStyle w:val="TableContents"/>
              <w:bidi w:val="0"/>
              <w:spacing w:before="0" w:after="283"/>
              <w:jc w:val="left"/>
              <w:rPr/>
            </w:pPr>
            <w:r>
              <w:rPr/>
              <w:t> </w:t>
            </w:r>
          </w:p>
        </w:tc>
        <w:tc>
          <w:tcPr>
            <w:tcW w:w="65" w:type="dxa"/>
            <w:tcBorders/>
            <w:shd w:fill="CCEEFF" w:val="clear"/>
            <w:vAlign w:val="center"/>
          </w:tcPr>
          <w:p>
            <w:pPr>
              <w:pStyle w:val="TableContents"/>
              <w:bidi w:val="0"/>
              <w:spacing w:before="0" w:after="283"/>
              <w:jc w:val="left"/>
              <w:rPr/>
            </w:pPr>
            <w:r>
              <w:rPr/>
              <w:t> </w:t>
            </w:r>
          </w:p>
        </w:tc>
        <w:tc>
          <w:tcPr>
            <w:tcW w:w="137" w:type="dxa"/>
            <w:tcBorders/>
            <w:shd w:fill="CCEEFF" w:val="clear"/>
            <w:vAlign w:val="center"/>
          </w:tcPr>
          <w:p>
            <w:pPr>
              <w:pStyle w:val="TableContents"/>
              <w:bidi w:val="0"/>
              <w:spacing w:before="0" w:after="283"/>
              <w:ind w:left="0" w:right="0" w:hanging="0"/>
              <w:jc w:val="left"/>
              <w:rPr/>
            </w:pPr>
            <w:r>
              <w:rPr/>
              <w:t> </w:t>
            </w:r>
          </w:p>
        </w:tc>
        <w:tc>
          <w:tcPr>
            <w:tcW w:w="827"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(712</w:t>
            </w:r>
          </w:p>
        </w:tc>
        <w:tc>
          <w:tcPr>
            <w:tcW w:w="87"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5" w:type="dxa"/>
            <w:tcBorders/>
            <w:shd w:fill="CCEEFF" w:val="clear"/>
            <w:vAlign w:val="center"/>
          </w:tcPr>
          <w:p>
            <w:pPr>
              <w:pStyle w:val="TableContents"/>
              <w:bidi w:val="0"/>
              <w:spacing w:before="0" w:after="283"/>
              <w:jc w:val="left"/>
              <w:rPr/>
            </w:pPr>
            <w:r>
              <w:rPr/>
              <w:t> </w:t>
            </w:r>
          </w:p>
        </w:tc>
        <w:tc>
          <w:tcPr>
            <w:tcW w:w="124" w:type="dxa"/>
            <w:tcBorders/>
            <w:shd w:fill="CCEEFF" w:val="clear"/>
            <w:vAlign w:val="center"/>
          </w:tcPr>
          <w:p>
            <w:pPr>
              <w:pStyle w:val="TableContents"/>
              <w:bidi w:val="0"/>
              <w:spacing w:before="0" w:after="283"/>
              <w:ind w:left="0" w:right="0" w:hanging="0"/>
              <w:jc w:val="left"/>
              <w:rPr/>
            </w:pPr>
            <w:r>
              <w:rPr/>
              <w:t> </w:t>
            </w:r>
          </w:p>
        </w:tc>
        <w:tc>
          <w:tcPr>
            <w:tcW w:w="604"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(60</w:t>
            </w:r>
          </w:p>
        </w:tc>
        <w:tc>
          <w:tcPr>
            <w:tcW w:w="24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24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21" w:type="dxa"/>
            <w:tcBorders/>
            <w:shd w:fill="FFFFFF" w:val="clear"/>
            <w:vAlign w:val="center"/>
          </w:tcPr>
          <w:p>
            <w:pPr>
              <w:pStyle w:val="TableContents"/>
              <w:bidi w:val="0"/>
              <w:spacing w:before="0" w:after="283"/>
              <w:jc w:val="left"/>
              <w:rPr/>
            </w:pPr>
            <w:r>
              <w:rPr/>
              <w:t> </w:t>
            </w:r>
          </w:p>
        </w:tc>
        <w:tc>
          <w:tcPr>
            <w:tcW w:w="1235" w:type="dxa"/>
            <w:tcBorders/>
            <w:shd w:fill="FFFFFF" w:val="clear"/>
            <w:vAlign w:val="center"/>
          </w:tcPr>
          <w:p>
            <w:pPr>
              <w:pStyle w:val="TableContents"/>
              <w:bidi w:val="0"/>
              <w:spacing w:before="0" w:after="283"/>
              <w:jc w:val="left"/>
              <w:rPr/>
            </w:pPr>
            <w:r>
              <w:rPr/>
              <w:t> </w:t>
            </w:r>
          </w:p>
        </w:tc>
        <w:tc>
          <w:tcPr>
            <w:tcW w:w="106" w:type="dxa"/>
            <w:tcBorders/>
            <w:shd w:fill="FFFFFF" w:val="clear"/>
            <w:vAlign w:val="center"/>
          </w:tcPr>
          <w:p>
            <w:pPr>
              <w:pStyle w:val="TableContents"/>
              <w:bidi w:val="0"/>
              <w:spacing w:before="0" w:after="283"/>
              <w:jc w:val="left"/>
              <w:rPr/>
            </w:pPr>
            <w:r>
              <w:rPr/>
              <w:t> </w:t>
            </w:r>
          </w:p>
        </w:tc>
        <w:tc>
          <w:tcPr>
            <w:tcW w:w="106" w:type="dxa"/>
            <w:tcBorders/>
            <w:shd w:fill="FFFFFF" w:val="clear"/>
            <w:vAlign w:val="center"/>
          </w:tcPr>
          <w:p>
            <w:pPr>
              <w:pStyle w:val="TableContents"/>
              <w:bidi w:val="0"/>
              <w:spacing w:before="0" w:after="283"/>
              <w:jc w:val="left"/>
              <w:rPr/>
            </w:pPr>
            <w:r>
              <w:rPr/>
              <w:t> </w:t>
            </w:r>
          </w:p>
        </w:tc>
        <w:tc>
          <w:tcPr>
            <w:tcW w:w="221" w:type="dxa"/>
            <w:tcBorders/>
            <w:shd w:fill="FFFFFF" w:val="clear"/>
            <w:vAlign w:val="center"/>
          </w:tcPr>
          <w:p>
            <w:pPr>
              <w:pStyle w:val="TableContents"/>
              <w:bidi w:val="0"/>
              <w:spacing w:before="0" w:after="283"/>
              <w:jc w:val="left"/>
              <w:rPr/>
            </w:pPr>
            <w:r>
              <w:rPr/>
              <w:t> </w:t>
            </w:r>
          </w:p>
        </w:tc>
        <w:tc>
          <w:tcPr>
            <w:tcW w:w="1235" w:type="dxa"/>
            <w:tcBorders/>
            <w:shd w:fill="FFFFFF" w:val="clear"/>
            <w:vAlign w:val="center"/>
          </w:tcPr>
          <w:p>
            <w:pPr>
              <w:pStyle w:val="TableContents"/>
              <w:bidi w:val="0"/>
              <w:spacing w:before="0" w:after="283"/>
              <w:jc w:val="left"/>
              <w:rPr/>
            </w:pPr>
            <w:r>
              <w:rPr/>
              <w:t> </w:t>
            </w:r>
          </w:p>
        </w:tc>
        <w:tc>
          <w:tcPr>
            <w:tcW w:w="65" w:type="dxa"/>
            <w:tcBorders/>
            <w:shd w:fill="FFFFFF" w:val="clear"/>
            <w:vAlign w:val="center"/>
          </w:tcPr>
          <w:p>
            <w:pPr>
              <w:pStyle w:val="TableContents"/>
              <w:bidi w:val="0"/>
              <w:spacing w:before="0" w:after="283"/>
              <w:jc w:val="left"/>
              <w:rPr/>
            </w:pPr>
            <w:r>
              <w:rPr/>
              <w:t> </w:t>
            </w:r>
          </w:p>
        </w:tc>
        <w:tc>
          <w:tcPr>
            <w:tcW w:w="65" w:type="dxa"/>
            <w:tcBorders/>
            <w:shd w:fill="FFFFFF" w:val="clear"/>
            <w:vAlign w:val="center"/>
          </w:tcPr>
          <w:p>
            <w:pPr>
              <w:pStyle w:val="TableContents"/>
              <w:bidi w:val="0"/>
              <w:spacing w:before="0" w:after="283"/>
              <w:jc w:val="left"/>
              <w:rPr/>
            </w:pPr>
            <w:r>
              <w:rPr/>
              <w:t> </w:t>
            </w:r>
          </w:p>
        </w:tc>
        <w:tc>
          <w:tcPr>
            <w:tcW w:w="137" w:type="dxa"/>
            <w:tcBorders/>
            <w:shd w:fill="FFFFFF" w:val="clear"/>
            <w:vAlign w:val="center"/>
          </w:tcPr>
          <w:p>
            <w:pPr>
              <w:pStyle w:val="TableContents"/>
              <w:bidi w:val="0"/>
              <w:spacing w:before="0" w:after="283"/>
              <w:jc w:val="left"/>
              <w:rPr/>
            </w:pPr>
            <w:r>
              <w:rPr/>
              <w:t> </w:t>
            </w:r>
          </w:p>
        </w:tc>
        <w:tc>
          <w:tcPr>
            <w:tcW w:w="827" w:type="dxa"/>
            <w:tcBorders/>
            <w:shd w:fill="FFFFFF" w:val="clear"/>
            <w:vAlign w:val="center"/>
          </w:tcPr>
          <w:p>
            <w:pPr>
              <w:pStyle w:val="TableContents"/>
              <w:bidi w:val="0"/>
              <w:spacing w:before="0" w:after="283"/>
              <w:jc w:val="left"/>
              <w:rPr/>
            </w:pPr>
            <w:r>
              <w:rPr/>
              <w:t> </w:t>
            </w:r>
          </w:p>
        </w:tc>
        <w:tc>
          <w:tcPr>
            <w:tcW w:w="87" w:type="dxa"/>
            <w:tcBorders/>
            <w:shd w:fill="FFFFFF" w:val="clear"/>
            <w:vAlign w:val="center"/>
          </w:tcPr>
          <w:p>
            <w:pPr>
              <w:pStyle w:val="TableContents"/>
              <w:bidi w:val="0"/>
              <w:spacing w:before="0" w:after="283"/>
              <w:jc w:val="left"/>
              <w:rPr/>
            </w:pPr>
            <w:r>
              <w:rPr/>
              <w:t> </w:t>
            </w:r>
          </w:p>
        </w:tc>
        <w:tc>
          <w:tcPr>
            <w:tcW w:w="65" w:type="dxa"/>
            <w:tcBorders/>
            <w:shd w:fill="FFFFFF" w:val="clear"/>
            <w:vAlign w:val="center"/>
          </w:tcPr>
          <w:p>
            <w:pPr>
              <w:pStyle w:val="TableContents"/>
              <w:bidi w:val="0"/>
              <w:spacing w:before="0" w:after="283"/>
              <w:jc w:val="left"/>
              <w:rPr/>
            </w:pPr>
            <w:r>
              <w:rPr/>
              <w:t> </w:t>
            </w:r>
          </w:p>
        </w:tc>
        <w:tc>
          <w:tcPr>
            <w:tcW w:w="124" w:type="dxa"/>
            <w:tcBorders/>
            <w:shd w:fill="FFFFFF" w:val="clear"/>
            <w:vAlign w:val="center"/>
          </w:tcPr>
          <w:p>
            <w:pPr>
              <w:pStyle w:val="TableContents"/>
              <w:bidi w:val="0"/>
              <w:spacing w:before="0" w:after="283"/>
              <w:jc w:val="left"/>
              <w:rPr/>
            </w:pPr>
            <w:r>
              <w:rPr/>
              <w:t> </w:t>
            </w:r>
          </w:p>
        </w:tc>
        <w:tc>
          <w:tcPr>
            <w:tcW w:w="604" w:type="dxa"/>
            <w:tcBorders/>
            <w:shd w:fill="FFFFFF" w:val="clear"/>
            <w:vAlign w:val="center"/>
          </w:tcPr>
          <w:p>
            <w:pPr>
              <w:pStyle w:val="TableContents"/>
              <w:bidi w:val="0"/>
              <w:spacing w:before="0" w:after="283"/>
              <w:jc w:val="left"/>
              <w:rPr/>
            </w:pPr>
            <w:r>
              <w:rPr/>
              <w:t> </w:t>
            </w:r>
          </w:p>
        </w:tc>
        <w:tc>
          <w:tcPr>
            <w:tcW w:w="245" w:type="dxa"/>
            <w:tcBorders/>
            <w:shd w:fill="FFFFFF" w:val="clear"/>
            <w:vAlign w:val="center"/>
          </w:tcPr>
          <w:p>
            <w:pPr>
              <w:pStyle w:val="TableContents"/>
              <w:bidi w:val="0"/>
              <w:spacing w:before="0" w:after="283"/>
              <w:jc w:val="left"/>
              <w:rPr/>
            </w:pPr>
            <w:r>
              <w:rPr/>
              <w:t> </w:t>
            </w:r>
          </w:p>
        </w:tc>
      </w:tr>
      <w:tr>
        <w:trPr/>
        <w:tc>
          <w:tcPr>
            <w:tcW w:w="2480" w:type="dxa"/>
            <w:tcBorders/>
            <w:shd w:fill="CCEE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Average sales prices:</w:t>
            </w:r>
          </w:p>
        </w:tc>
        <w:tc>
          <w:tcPr>
            <w:tcW w:w="60" w:type="dxa"/>
            <w:tcBorders/>
            <w:shd w:fill="CCEEFF" w:val="clear"/>
            <w:vAlign w:val="center"/>
          </w:tcPr>
          <w:p>
            <w:pPr>
              <w:pStyle w:val="TableContents"/>
              <w:bidi w:val="0"/>
              <w:spacing w:before="0" w:after="283"/>
              <w:jc w:val="left"/>
              <w:rPr/>
            </w:pPr>
            <w:r>
              <w:rPr/>
              <w:t> </w:t>
            </w:r>
          </w:p>
        </w:tc>
        <w:tc>
          <w:tcPr>
            <w:tcW w:w="221" w:type="dxa"/>
            <w:tcBorders/>
            <w:shd w:fill="CCEEFF" w:val="clear"/>
            <w:vAlign w:val="center"/>
          </w:tcPr>
          <w:p>
            <w:pPr>
              <w:pStyle w:val="TableContents"/>
              <w:bidi w:val="0"/>
              <w:spacing w:before="0" w:after="283"/>
              <w:jc w:val="left"/>
              <w:rPr/>
            </w:pPr>
            <w:r>
              <w:rPr/>
              <w:t> </w:t>
            </w:r>
          </w:p>
        </w:tc>
        <w:tc>
          <w:tcPr>
            <w:tcW w:w="1235" w:type="dxa"/>
            <w:tcBorders/>
            <w:shd w:fill="CCEEFF" w:val="clear"/>
            <w:vAlign w:val="center"/>
          </w:tcPr>
          <w:p>
            <w:pPr>
              <w:pStyle w:val="TableContents"/>
              <w:bidi w:val="0"/>
              <w:spacing w:before="0" w:after="283"/>
              <w:jc w:val="left"/>
              <w:rPr/>
            </w:pPr>
            <w:r>
              <w:rPr/>
              <w:t> </w:t>
            </w:r>
          </w:p>
        </w:tc>
        <w:tc>
          <w:tcPr>
            <w:tcW w:w="106" w:type="dxa"/>
            <w:tcBorders/>
            <w:shd w:fill="CCEEFF" w:val="clear"/>
            <w:vAlign w:val="center"/>
          </w:tcPr>
          <w:p>
            <w:pPr>
              <w:pStyle w:val="TableContents"/>
              <w:bidi w:val="0"/>
              <w:spacing w:before="0" w:after="283"/>
              <w:jc w:val="left"/>
              <w:rPr/>
            </w:pPr>
            <w:r>
              <w:rPr/>
              <w:t> </w:t>
            </w:r>
          </w:p>
        </w:tc>
        <w:tc>
          <w:tcPr>
            <w:tcW w:w="106" w:type="dxa"/>
            <w:tcBorders/>
            <w:shd w:fill="CCEEFF" w:val="clear"/>
            <w:vAlign w:val="center"/>
          </w:tcPr>
          <w:p>
            <w:pPr>
              <w:pStyle w:val="TableContents"/>
              <w:bidi w:val="0"/>
              <w:spacing w:before="0" w:after="283"/>
              <w:jc w:val="left"/>
              <w:rPr/>
            </w:pPr>
            <w:r>
              <w:rPr/>
              <w:t> </w:t>
            </w:r>
          </w:p>
        </w:tc>
        <w:tc>
          <w:tcPr>
            <w:tcW w:w="221" w:type="dxa"/>
            <w:tcBorders/>
            <w:shd w:fill="CCEEFF" w:val="clear"/>
            <w:vAlign w:val="center"/>
          </w:tcPr>
          <w:p>
            <w:pPr>
              <w:pStyle w:val="TableContents"/>
              <w:bidi w:val="0"/>
              <w:spacing w:before="0" w:after="283"/>
              <w:jc w:val="left"/>
              <w:rPr/>
            </w:pPr>
            <w:r>
              <w:rPr/>
              <w:t> </w:t>
            </w:r>
          </w:p>
        </w:tc>
        <w:tc>
          <w:tcPr>
            <w:tcW w:w="1235" w:type="dxa"/>
            <w:tcBorders/>
            <w:shd w:fill="CCEEFF" w:val="clear"/>
            <w:vAlign w:val="center"/>
          </w:tcPr>
          <w:p>
            <w:pPr>
              <w:pStyle w:val="TableContents"/>
              <w:bidi w:val="0"/>
              <w:spacing w:before="0" w:after="283"/>
              <w:jc w:val="left"/>
              <w:rPr/>
            </w:pPr>
            <w:r>
              <w:rPr/>
              <w:t> </w:t>
            </w:r>
          </w:p>
        </w:tc>
        <w:tc>
          <w:tcPr>
            <w:tcW w:w="65" w:type="dxa"/>
            <w:tcBorders/>
            <w:shd w:fill="CCEEFF" w:val="clear"/>
            <w:vAlign w:val="center"/>
          </w:tcPr>
          <w:p>
            <w:pPr>
              <w:pStyle w:val="TableContents"/>
              <w:bidi w:val="0"/>
              <w:spacing w:before="0" w:after="283"/>
              <w:jc w:val="left"/>
              <w:rPr/>
            </w:pPr>
            <w:r>
              <w:rPr/>
              <w:t> </w:t>
            </w:r>
          </w:p>
        </w:tc>
        <w:tc>
          <w:tcPr>
            <w:tcW w:w="65" w:type="dxa"/>
            <w:tcBorders/>
            <w:shd w:fill="CCEEFF" w:val="clear"/>
            <w:vAlign w:val="center"/>
          </w:tcPr>
          <w:p>
            <w:pPr>
              <w:pStyle w:val="TableContents"/>
              <w:bidi w:val="0"/>
              <w:spacing w:before="0" w:after="283"/>
              <w:jc w:val="left"/>
              <w:rPr/>
            </w:pPr>
            <w:r>
              <w:rPr/>
              <w:t> </w:t>
            </w:r>
          </w:p>
        </w:tc>
        <w:tc>
          <w:tcPr>
            <w:tcW w:w="137" w:type="dxa"/>
            <w:tcBorders/>
            <w:shd w:fill="CCEEFF" w:val="clear"/>
            <w:vAlign w:val="center"/>
          </w:tcPr>
          <w:p>
            <w:pPr>
              <w:pStyle w:val="TableContents"/>
              <w:bidi w:val="0"/>
              <w:spacing w:before="0" w:after="283"/>
              <w:jc w:val="left"/>
              <w:rPr/>
            </w:pPr>
            <w:r>
              <w:rPr/>
              <w:t> </w:t>
            </w:r>
          </w:p>
        </w:tc>
        <w:tc>
          <w:tcPr>
            <w:tcW w:w="827" w:type="dxa"/>
            <w:tcBorders/>
            <w:shd w:fill="CCEEFF" w:val="clear"/>
            <w:vAlign w:val="center"/>
          </w:tcPr>
          <w:p>
            <w:pPr>
              <w:pStyle w:val="TableContents"/>
              <w:bidi w:val="0"/>
              <w:spacing w:before="0" w:after="283"/>
              <w:jc w:val="left"/>
              <w:rPr/>
            </w:pPr>
            <w:r>
              <w:rPr/>
              <w:t> </w:t>
            </w:r>
          </w:p>
        </w:tc>
        <w:tc>
          <w:tcPr>
            <w:tcW w:w="87" w:type="dxa"/>
            <w:tcBorders/>
            <w:shd w:fill="CCEEFF" w:val="clear"/>
            <w:vAlign w:val="center"/>
          </w:tcPr>
          <w:p>
            <w:pPr>
              <w:pStyle w:val="TableContents"/>
              <w:bidi w:val="0"/>
              <w:spacing w:before="0" w:after="283"/>
              <w:jc w:val="left"/>
              <w:rPr/>
            </w:pPr>
            <w:r>
              <w:rPr/>
              <w:t> </w:t>
            </w:r>
          </w:p>
        </w:tc>
        <w:tc>
          <w:tcPr>
            <w:tcW w:w="65" w:type="dxa"/>
            <w:tcBorders/>
            <w:shd w:fill="CCEEFF" w:val="clear"/>
            <w:vAlign w:val="center"/>
          </w:tcPr>
          <w:p>
            <w:pPr>
              <w:pStyle w:val="TableContents"/>
              <w:bidi w:val="0"/>
              <w:spacing w:before="0" w:after="283"/>
              <w:jc w:val="left"/>
              <w:rPr/>
            </w:pPr>
            <w:r>
              <w:rPr/>
              <w:t> </w:t>
            </w:r>
          </w:p>
        </w:tc>
        <w:tc>
          <w:tcPr>
            <w:tcW w:w="124" w:type="dxa"/>
            <w:tcBorders/>
            <w:shd w:fill="CCEEFF" w:val="clear"/>
            <w:vAlign w:val="center"/>
          </w:tcPr>
          <w:p>
            <w:pPr>
              <w:pStyle w:val="TableContents"/>
              <w:bidi w:val="0"/>
              <w:spacing w:before="0" w:after="283"/>
              <w:jc w:val="left"/>
              <w:rPr/>
            </w:pPr>
            <w:r>
              <w:rPr/>
              <w:t> </w:t>
            </w:r>
          </w:p>
        </w:tc>
        <w:tc>
          <w:tcPr>
            <w:tcW w:w="604" w:type="dxa"/>
            <w:tcBorders/>
            <w:shd w:fill="CCEEFF" w:val="clear"/>
            <w:vAlign w:val="center"/>
          </w:tcPr>
          <w:p>
            <w:pPr>
              <w:pStyle w:val="TableContents"/>
              <w:bidi w:val="0"/>
              <w:spacing w:before="0" w:after="283"/>
              <w:jc w:val="left"/>
              <w:rPr/>
            </w:pPr>
            <w:r>
              <w:rPr/>
              <w:t> </w:t>
            </w:r>
          </w:p>
        </w:tc>
        <w:tc>
          <w:tcPr>
            <w:tcW w:w="245" w:type="dxa"/>
            <w:tcBorders/>
            <w:shd w:fill="CCEEFF" w:val="clear"/>
            <w:vAlign w:val="center"/>
          </w:tcPr>
          <w:p>
            <w:pPr>
              <w:pStyle w:val="TableContents"/>
              <w:bidi w:val="0"/>
              <w:spacing w:before="0" w:after="283"/>
              <w:jc w:val="left"/>
              <w:rPr/>
            </w:pPr>
            <w:r>
              <w:rPr/>
              <w:t> </w:t>
            </w:r>
          </w:p>
        </w:tc>
      </w:tr>
      <w:tr>
        <w:trPr/>
        <w:tc>
          <w:tcPr>
            <w:tcW w:w="2480"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Oil (Bbls)</w:t>
            </w:r>
          </w:p>
        </w:tc>
        <w:tc>
          <w:tcPr>
            <w:tcW w:w="60" w:type="dxa"/>
            <w:tcBorders/>
            <w:shd w:fill="FFFFFF" w:val="clear"/>
            <w:vAlign w:val="center"/>
          </w:tcPr>
          <w:p>
            <w:pPr>
              <w:pStyle w:val="TableContents"/>
              <w:bidi w:val="0"/>
              <w:spacing w:before="0" w:after="283"/>
              <w:ind w:left="0" w:right="0" w:hanging="0"/>
              <w:jc w:val="left"/>
              <w:rPr/>
            </w:pPr>
            <w:r>
              <w:rPr/>
              <w:t> </w:t>
            </w:r>
          </w:p>
        </w:tc>
        <w:tc>
          <w:tcPr>
            <w:tcW w:w="221"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23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57.89</w:t>
            </w:r>
          </w:p>
        </w:tc>
        <w:tc>
          <w:tcPr>
            <w:tcW w:w="106" w:type="dxa"/>
            <w:tcBorders/>
            <w:shd w:fill="FFFFFF" w:val="clear"/>
            <w:vAlign w:val="center"/>
          </w:tcPr>
          <w:p>
            <w:pPr>
              <w:pStyle w:val="TableContents"/>
              <w:bidi w:val="0"/>
              <w:spacing w:before="0" w:after="283"/>
              <w:jc w:val="left"/>
              <w:rPr/>
            </w:pPr>
            <w:r>
              <w:rPr/>
              <w:t> </w:t>
            </w:r>
          </w:p>
        </w:tc>
        <w:tc>
          <w:tcPr>
            <w:tcW w:w="106" w:type="dxa"/>
            <w:tcBorders/>
            <w:shd w:fill="FFFFFF" w:val="clear"/>
            <w:vAlign w:val="center"/>
          </w:tcPr>
          <w:p>
            <w:pPr>
              <w:pStyle w:val="TableContents"/>
              <w:bidi w:val="0"/>
              <w:spacing w:before="0" w:after="283"/>
              <w:ind w:left="0" w:right="0" w:hanging="0"/>
              <w:jc w:val="left"/>
              <w:rPr/>
            </w:pPr>
            <w:r>
              <w:rPr/>
              <w:t> </w:t>
            </w:r>
          </w:p>
        </w:tc>
        <w:tc>
          <w:tcPr>
            <w:tcW w:w="221"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23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72.36</w:t>
            </w:r>
          </w:p>
        </w:tc>
        <w:tc>
          <w:tcPr>
            <w:tcW w:w="65" w:type="dxa"/>
            <w:tcBorders/>
            <w:shd w:fill="FFFFFF" w:val="clear"/>
            <w:vAlign w:val="center"/>
          </w:tcPr>
          <w:p>
            <w:pPr>
              <w:pStyle w:val="TableContents"/>
              <w:bidi w:val="0"/>
              <w:spacing w:before="0" w:after="283"/>
              <w:jc w:val="left"/>
              <w:rPr/>
            </w:pPr>
            <w:r>
              <w:rPr/>
              <w:t> </w:t>
            </w:r>
          </w:p>
        </w:tc>
        <w:tc>
          <w:tcPr>
            <w:tcW w:w="65" w:type="dxa"/>
            <w:tcBorders/>
            <w:shd w:fill="FFFFFF" w:val="clear"/>
            <w:vAlign w:val="center"/>
          </w:tcPr>
          <w:p>
            <w:pPr>
              <w:pStyle w:val="TableContents"/>
              <w:bidi w:val="0"/>
              <w:spacing w:before="0" w:after="283"/>
              <w:ind w:left="0" w:right="0" w:hanging="0"/>
              <w:jc w:val="left"/>
              <w:rPr/>
            </w:pPr>
            <w:r>
              <w:rPr/>
              <w:t> </w:t>
            </w:r>
          </w:p>
        </w:tc>
        <w:tc>
          <w:tcPr>
            <w:tcW w:w="137"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27"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(14.47</w:t>
            </w:r>
          </w:p>
        </w:tc>
        <w:tc>
          <w:tcPr>
            <w:tcW w:w="87"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5" w:type="dxa"/>
            <w:tcBorders/>
            <w:shd w:fill="FFFFFF" w:val="clear"/>
            <w:vAlign w:val="center"/>
          </w:tcPr>
          <w:p>
            <w:pPr>
              <w:pStyle w:val="TableContents"/>
              <w:bidi w:val="0"/>
              <w:spacing w:before="0" w:after="283"/>
              <w:jc w:val="left"/>
              <w:rPr/>
            </w:pPr>
            <w:r>
              <w:rPr/>
              <w:t> </w:t>
            </w:r>
          </w:p>
        </w:tc>
        <w:tc>
          <w:tcPr>
            <w:tcW w:w="124" w:type="dxa"/>
            <w:tcBorders/>
            <w:shd w:fill="FFFFFF" w:val="clear"/>
            <w:vAlign w:val="center"/>
          </w:tcPr>
          <w:p>
            <w:pPr>
              <w:pStyle w:val="TableContents"/>
              <w:bidi w:val="0"/>
              <w:spacing w:before="0" w:after="283"/>
              <w:ind w:left="0" w:right="0" w:hanging="0"/>
              <w:jc w:val="left"/>
              <w:rPr/>
            </w:pPr>
            <w:r>
              <w:rPr/>
              <w:t> </w:t>
            </w:r>
          </w:p>
        </w:tc>
        <w:tc>
          <w:tcPr>
            <w:tcW w:w="604"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(20</w:t>
            </w:r>
          </w:p>
        </w:tc>
        <w:tc>
          <w:tcPr>
            <w:tcW w:w="24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2480"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Natural gas and liquids (Mcfe)</w:t>
            </w:r>
          </w:p>
        </w:tc>
        <w:tc>
          <w:tcPr>
            <w:tcW w:w="60" w:type="dxa"/>
            <w:tcBorders/>
            <w:shd w:fill="CCEEFF" w:val="clear"/>
            <w:vAlign w:val="center"/>
          </w:tcPr>
          <w:p>
            <w:pPr>
              <w:pStyle w:val="TableContents"/>
              <w:bidi w:val="0"/>
              <w:spacing w:before="0" w:after="283"/>
              <w:ind w:left="0" w:right="0" w:hanging="0"/>
              <w:jc w:val="left"/>
              <w:rPr/>
            </w:pPr>
            <w:r>
              <w:rPr/>
              <w:t> </w:t>
            </w:r>
          </w:p>
        </w:tc>
        <w:tc>
          <w:tcPr>
            <w:tcW w:w="221"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23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3.06</w:t>
            </w:r>
          </w:p>
        </w:tc>
        <w:tc>
          <w:tcPr>
            <w:tcW w:w="106" w:type="dxa"/>
            <w:tcBorders/>
            <w:shd w:fill="CCEEFF" w:val="clear"/>
            <w:vAlign w:val="center"/>
          </w:tcPr>
          <w:p>
            <w:pPr>
              <w:pStyle w:val="TableContents"/>
              <w:bidi w:val="0"/>
              <w:spacing w:before="0" w:after="283"/>
              <w:jc w:val="left"/>
              <w:rPr/>
            </w:pPr>
            <w:r>
              <w:rPr/>
              <w:t> </w:t>
            </w:r>
          </w:p>
        </w:tc>
        <w:tc>
          <w:tcPr>
            <w:tcW w:w="106" w:type="dxa"/>
            <w:tcBorders/>
            <w:shd w:fill="CCEEFF" w:val="clear"/>
            <w:vAlign w:val="center"/>
          </w:tcPr>
          <w:p>
            <w:pPr>
              <w:pStyle w:val="TableContents"/>
              <w:bidi w:val="0"/>
              <w:spacing w:before="0" w:after="283"/>
              <w:ind w:left="0" w:right="0" w:hanging="0"/>
              <w:jc w:val="left"/>
              <w:rPr/>
            </w:pPr>
            <w:r>
              <w:rPr/>
              <w:t> </w:t>
            </w:r>
          </w:p>
        </w:tc>
        <w:tc>
          <w:tcPr>
            <w:tcW w:w="221"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23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2.42</w:t>
            </w:r>
          </w:p>
        </w:tc>
        <w:tc>
          <w:tcPr>
            <w:tcW w:w="65" w:type="dxa"/>
            <w:tcBorders/>
            <w:shd w:fill="CCEEFF" w:val="clear"/>
            <w:vAlign w:val="center"/>
          </w:tcPr>
          <w:p>
            <w:pPr>
              <w:pStyle w:val="TableContents"/>
              <w:bidi w:val="0"/>
              <w:spacing w:before="0" w:after="283"/>
              <w:jc w:val="left"/>
              <w:rPr/>
            </w:pPr>
            <w:r>
              <w:rPr/>
              <w:t> </w:t>
            </w:r>
          </w:p>
        </w:tc>
        <w:tc>
          <w:tcPr>
            <w:tcW w:w="65" w:type="dxa"/>
            <w:tcBorders/>
            <w:shd w:fill="CCEEFF" w:val="clear"/>
            <w:vAlign w:val="center"/>
          </w:tcPr>
          <w:p>
            <w:pPr>
              <w:pStyle w:val="TableContents"/>
              <w:bidi w:val="0"/>
              <w:spacing w:before="0" w:after="283"/>
              <w:ind w:left="0" w:right="0" w:hanging="0"/>
              <w:jc w:val="left"/>
              <w:rPr/>
            </w:pPr>
            <w:r>
              <w:rPr/>
              <w:t> </w:t>
            </w:r>
          </w:p>
        </w:tc>
        <w:tc>
          <w:tcPr>
            <w:tcW w:w="137"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27"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0.64</w:t>
            </w:r>
          </w:p>
        </w:tc>
        <w:tc>
          <w:tcPr>
            <w:tcW w:w="87" w:type="dxa"/>
            <w:tcBorders/>
            <w:shd w:fill="CCEEFF" w:val="clear"/>
            <w:vAlign w:val="center"/>
          </w:tcPr>
          <w:p>
            <w:pPr>
              <w:pStyle w:val="TableContents"/>
              <w:bidi w:val="0"/>
              <w:spacing w:before="0" w:after="283"/>
              <w:jc w:val="left"/>
              <w:rPr/>
            </w:pPr>
            <w:r>
              <w:rPr/>
              <w:t> </w:t>
            </w:r>
          </w:p>
        </w:tc>
        <w:tc>
          <w:tcPr>
            <w:tcW w:w="65" w:type="dxa"/>
            <w:tcBorders/>
            <w:shd w:fill="CCEEFF" w:val="clear"/>
            <w:vAlign w:val="center"/>
          </w:tcPr>
          <w:p>
            <w:pPr>
              <w:pStyle w:val="TableContents"/>
              <w:bidi w:val="0"/>
              <w:spacing w:before="0" w:after="283"/>
              <w:jc w:val="left"/>
              <w:rPr/>
            </w:pPr>
            <w:r>
              <w:rPr/>
              <w:t> </w:t>
            </w:r>
          </w:p>
        </w:tc>
        <w:tc>
          <w:tcPr>
            <w:tcW w:w="124" w:type="dxa"/>
            <w:tcBorders/>
            <w:shd w:fill="CCEEFF" w:val="clear"/>
            <w:vAlign w:val="center"/>
          </w:tcPr>
          <w:p>
            <w:pPr>
              <w:pStyle w:val="TableContents"/>
              <w:bidi w:val="0"/>
              <w:spacing w:before="0" w:after="283"/>
              <w:ind w:left="0" w:right="0" w:hanging="0"/>
              <w:jc w:val="left"/>
              <w:rPr/>
            </w:pPr>
            <w:r>
              <w:rPr/>
              <w:t> </w:t>
            </w:r>
          </w:p>
        </w:tc>
        <w:tc>
          <w:tcPr>
            <w:tcW w:w="604"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26</w:t>
            </w:r>
          </w:p>
        </w:tc>
        <w:tc>
          <w:tcPr>
            <w:tcW w:w="24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2480"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BOE</w:t>
            </w:r>
          </w:p>
        </w:tc>
        <w:tc>
          <w:tcPr>
            <w:tcW w:w="60" w:type="dxa"/>
            <w:tcBorders/>
            <w:shd w:fill="FFFFFF" w:val="clear"/>
            <w:vAlign w:val="center"/>
          </w:tcPr>
          <w:p>
            <w:pPr>
              <w:pStyle w:val="TableContents"/>
              <w:bidi w:val="0"/>
              <w:spacing w:before="0" w:after="283"/>
              <w:ind w:left="0" w:right="0" w:hanging="0"/>
              <w:jc w:val="left"/>
              <w:rPr/>
            </w:pPr>
            <w:r>
              <w:rPr/>
              <w:t> </w:t>
            </w:r>
          </w:p>
        </w:tc>
        <w:tc>
          <w:tcPr>
            <w:tcW w:w="221"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23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45.44</w:t>
            </w:r>
          </w:p>
        </w:tc>
        <w:tc>
          <w:tcPr>
            <w:tcW w:w="106" w:type="dxa"/>
            <w:tcBorders/>
            <w:shd w:fill="FFFFFF" w:val="clear"/>
            <w:vAlign w:val="center"/>
          </w:tcPr>
          <w:p>
            <w:pPr>
              <w:pStyle w:val="TableContents"/>
              <w:bidi w:val="0"/>
              <w:spacing w:before="0" w:after="283"/>
              <w:jc w:val="left"/>
              <w:rPr/>
            </w:pPr>
            <w:r>
              <w:rPr/>
              <w:t> </w:t>
            </w:r>
          </w:p>
        </w:tc>
        <w:tc>
          <w:tcPr>
            <w:tcW w:w="106" w:type="dxa"/>
            <w:tcBorders/>
            <w:shd w:fill="FFFFFF" w:val="clear"/>
            <w:vAlign w:val="center"/>
          </w:tcPr>
          <w:p>
            <w:pPr>
              <w:pStyle w:val="TableContents"/>
              <w:bidi w:val="0"/>
              <w:spacing w:before="0" w:after="283"/>
              <w:ind w:left="0" w:right="0" w:hanging="0"/>
              <w:jc w:val="left"/>
              <w:rPr/>
            </w:pPr>
            <w:r>
              <w:rPr/>
              <w:t> </w:t>
            </w:r>
          </w:p>
        </w:tc>
        <w:tc>
          <w:tcPr>
            <w:tcW w:w="221"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23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50.20</w:t>
            </w:r>
          </w:p>
        </w:tc>
        <w:tc>
          <w:tcPr>
            <w:tcW w:w="65" w:type="dxa"/>
            <w:tcBorders/>
            <w:shd w:fill="FFFFFF" w:val="clear"/>
            <w:vAlign w:val="center"/>
          </w:tcPr>
          <w:p>
            <w:pPr>
              <w:pStyle w:val="TableContents"/>
              <w:bidi w:val="0"/>
              <w:spacing w:before="0" w:after="283"/>
              <w:jc w:val="left"/>
              <w:rPr/>
            </w:pPr>
            <w:r>
              <w:rPr/>
              <w:t> </w:t>
            </w:r>
          </w:p>
        </w:tc>
        <w:tc>
          <w:tcPr>
            <w:tcW w:w="65" w:type="dxa"/>
            <w:tcBorders/>
            <w:shd w:fill="FFFFFF" w:val="clear"/>
            <w:vAlign w:val="center"/>
          </w:tcPr>
          <w:p>
            <w:pPr>
              <w:pStyle w:val="TableContents"/>
              <w:bidi w:val="0"/>
              <w:spacing w:before="0" w:after="283"/>
              <w:ind w:left="0" w:right="0" w:hanging="0"/>
              <w:jc w:val="left"/>
              <w:rPr/>
            </w:pPr>
            <w:r>
              <w:rPr/>
              <w:t> </w:t>
            </w:r>
          </w:p>
        </w:tc>
        <w:tc>
          <w:tcPr>
            <w:tcW w:w="137"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27"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(4.76</w:t>
            </w:r>
          </w:p>
        </w:tc>
        <w:tc>
          <w:tcPr>
            <w:tcW w:w="87"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5" w:type="dxa"/>
            <w:tcBorders/>
            <w:shd w:fill="FFFFFF" w:val="clear"/>
            <w:vAlign w:val="center"/>
          </w:tcPr>
          <w:p>
            <w:pPr>
              <w:pStyle w:val="TableContents"/>
              <w:bidi w:val="0"/>
              <w:spacing w:before="0" w:after="283"/>
              <w:jc w:val="left"/>
              <w:rPr/>
            </w:pPr>
            <w:r>
              <w:rPr/>
              <w:t> </w:t>
            </w:r>
          </w:p>
        </w:tc>
        <w:tc>
          <w:tcPr>
            <w:tcW w:w="124" w:type="dxa"/>
            <w:tcBorders/>
            <w:shd w:fill="FFFFFF" w:val="clear"/>
            <w:vAlign w:val="center"/>
          </w:tcPr>
          <w:p>
            <w:pPr>
              <w:pStyle w:val="TableContents"/>
              <w:bidi w:val="0"/>
              <w:spacing w:before="0" w:after="283"/>
              <w:ind w:left="0" w:right="0" w:hanging="0"/>
              <w:jc w:val="left"/>
              <w:rPr/>
            </w:pPr>
            <w:r>
              <w:rPr/>
              <w:t> </w:t>
            </w:r>
          </w:p>
        </w:tc>
        <w:tc>
          <w:tcPr>
            <w:tcW w:w="604"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w:t>
            </w:r>
          </w:p>
        </w:tc>
        <w:tc>
          <w:tcPr>
            <w:tcW w:w="24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decrease in our oil and natural gas revenue of $10.4 million for the nine months ended September 30, 2025, as compared to the nine months ended September 30, 2024, was primarily due to a decrease of 60% in production quantities and a decrease in realized commodity pricing of 9% on a per barrel of oil equivalent (BOE) basis. For the nine months ended September 30, 2025, we produced 131,150 BOE, or an average of 480 BOE per day, as compared to 326,589 BOE or an average of 1,192 BOE per day during the comparable period in 2024. The decrease in our production quantities primarily relates to the divestitures of our Karnes County, East Texas and Mid-con regions properties, which occurred in the second half of 2024 and the natural decline in production in remaining producing assets. During the nine months ended September 30, 2025, our production was 68% oil and 32% natural gas and liquids compared to 62% oil and 38% natural gas and liquids produced during the nine months ended September 30, 2024.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i/>
          <w:caps w:val="false"/>
          <w:smallCaps w:val="false"/>
          <w:sz w:val="20"/>
        </w:rPr>
        <w:t>Oil and  Natural Gas Production Costs</w:t>
      </w:r>
      <w:r>
        <w:rPr>
          <w:rFonts w:ascii="Times New Roman" w:hAnsi="Times New Roman"/>
          <w:caps w:val="false"/>
          <w:smallCaps w:val="false"/>
          <w:sz w:val="20"/>
        </w:rPr>
        <w:t>. Presented below is a comparison of our oil and natural gas production costs for the nine months ended September 30, 2025 and 2024:</w:t>
      </w:r>
    </w:p>
    <w:p>
      <w:pPr>
        <w:pStyle w:val="TextBody"/>
        <w:bidi w:val="0"/>
        <w:spacing w:before="0" w:after="0"/>
        <w:ind w:left="0" w:right="0" w:hanging="0"/>
        <w:jc w:val="left"/>
        <w:rPr>
          <w:caps w:val="false"/>
          <w:smallCaps w:val="false"/>
        </w:rPr>
      </w:pPr>
      <w:r>
        <w:rPr>
          <w:caps w:val="false"/>
          <w:smallCaps w:val="false"/>
        </w:rPr>
        <w:t> </w:t>
      </w:r>
    </w:p>
    <w:tbl>
      <w:tblPr>
        <w:tblW w:w="7856" w:type="dxa"/>
        <w:jc w:val="left"/>
        <w:tblInd w:w="0" w:type="dxa"/>
        <w:tblLayout w:type="fixed"/>
        <w:tblCellMar>
          <w:top w:w="0" w:type="dxa"/>
          <w:left w:w="0" w:type="dxa"/>
          <w:bottom w:w="0" w:type="dxa"/>
          <w:right w:w="0" w:type="dxa"/>
        </w:tblCellMar>
      </w:tblPr>
      <w:tblGrid>
        <w:gridCol w:w="3080"/>
        <w:gridCol w:w="60"/>
        <w:gridCol w:w="246"/>
        <w:gridCol w:w="958"/>
        <w:gridCol w:w="118"/>
        <w:gridCol w:w="118"/>
        <w:gridCol w:w="246"/>
        <w:gridCol w:w="1165"/>
        <w:gridCol w:w="60"/>
        <w:gridCol w:w="60"/>
        <w:gridCol w:w="129"/>
        <w:gridCol w:w="566"/>
        <w:gridCol w:w="80"/>
        <w:gridCol w:w="60"/>
        <w:gridCol w:w="101"/>
        <w:gridCol w:w="564"/>
        <w:gridCol w:w="245"/>
      </w:tblGrid>
      <w:tr>
        <w:trPr/>
        <w:tc>
          <w:tcPr>
            <w:tcW w:w="30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851"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Nine months ended September 30,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500"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Change</w:t>
            </w:r>
          </w:p>
        </w:tc>
        <w:tc>
          <w:tcPr>
            <w:tcW w:w="245" w:type="dxa"/>
            <w:tcBorders/>
            <w:shd w:fill="FFFFFF" w:val="clear"/>
            <w:vAlign w:val="center"/>
          </w:tcPr>
          <w:p>
            <w:pPr>
              <w:pStyle w:val="TableContents"/>
              <w:bidi w:val="0"/>
              <w:spacing w:before="0" w:after="283"/>
              <w:jc w:val="left"/>
              <w:rPr/>
            </w:pPr>
            <w:r>
              <w:rPr/>
              <w:t> </w:t>
            </w:r>
          </w:p>
        </w:tc>
      </w:tr>
      <w:tr>
        <w:trPr/>
        <w:tc>
          <w:tcPr>
            <w:tcW w:w="30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04"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2025</w:t>
            </w:r>
          </w:p>
        </w:tc>
        <w:tc>
          <w:tcPr>
            <w:tcW w:w="118" w:type="dxa"/>
            <w:tcBorders/>
            <w:shd w:fill="FFFFFF" w:val="clear"/>
            <w:vAlign w:val="center"/>
          </w:tcPr>
          <w:p>
            <w:pPr>
              <w:pStyle w:val="TableContents"/>
              <w:bidi w:val="0"/>
              <w:spacing w:before="0" w:after="283"/>
              <w:jc w:val="left"/>
              <w:rPr/>
            </w:pPr>
            <w:r>
              <w:rPr/>
              <w:t> </w:t>
            </w:r>
          </w:p>
        </w:tc>
        <w:tc>
          <w:tcPr>
            <w:tcW w:w="118" w:type="dxa"/>
            <w:tcBorders/>
            <w:shd w:fill="FFFFFF" w:val="clear"/>
            <w:vAlign w:val="center"/>
          </w:tcPr>
          <w:p>
            <w:pPr>
              <w:pStyle w:val="TableContents"/>
              <w:bidi w:val="0"/>
              <w:spacing w:before="0" w:after="283"/>
              <w:ind w:left="0" w:right="0" w:hanging="0"/>
              <w:jc w:val="left"/>
              <w:rPr/>
            </w:pPr>
            <w:r>
              <w:rPr/>
              <w:t> </w:t>
            </w:r>
          </w:p>
        </w:tc>
        <w:tc>
          <w:tcPr>
            <w:tcW w:w="1411"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69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Amount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66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Percent</w:t>
            </w:r>
          </w:p>
        </w:tc>
        <w:tc>
          <w:tcPr>
            <w:tcW w:w="245" w:type="dxa"/>
            <w:tcBorders/>
            <w:shd w:fill="FFFFFF" w:val="clear"/>
            <w:vAlign w:val="center"/>
          </w:tcPr>
          <w:p>
            <w:pPr>
              <w:pStyle w:val="TableContents"/>
              <w:bidi w:val="0"/>
              <w:spacing w:before="0" w:after="283"/>
              <w:jc w:val="left"/>
              <w:rPr/>
            </w:pPr>
            <w:r>
              <w:rPr/>
              <w:t> </w:t>
            </w:r>
          </w:p>
        </w:tc>
      </w:tr>
      <w:tr>
        <w:trPr/>
        <w:tc>
          <w:tcPr>
            <w:tcW w:w="30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4471" w:type="dxa"/>
            <w:gridSpan w:val="14"/>
            <w:tcBorders/>
            <w:shd w:fill="FFFFFF" w:val="cle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(in thousands)</w:t>
            </w:r>
          </w:p>
        </w:tc>
        <w:tc>
          <w:tcPr>
            <w:tcW w:w="245" w:type="dxa"/>
            <w:tcBorders/>
            <w:shd w:fill="FFFFFF" w:val="clear"/>
            <w:vAlign w:val="center"/>
          </w:tcPr>
          <w:p>
            <w:pPr>
              <w:pStyle w:val="TableContents"/>
              <w:bidi w:val="0"/>
              <w:spacing w:before="0" w:after="283"/>
              <w:jc w:val="left"/>
              <w:rPr/>
            </w:pPr>
            <w:r>
              <w:rPr/>
              <w:t> </w:t>
            </w:r>
          </w:p>
        </w:tc>
      </w:tr>
      <w:tr>
        <w:trPr/>
        <w:tc>
          <w:tcPr>
            <w:tcW w:w="308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Lease operating expenses</w:t>
            </w:r>
          </w:p>
        </w:tc>
        <w:tc>
          <w:tcPr>
            <w:tcW w:w="60" w:type="dxa"/>
            <w:tcBorders/>
            <w:shd w:fill="CCEEFF" w:val="clear"/>
            <w:vAlign w:val="center"/>
          </w:tcPr>
          <w:p>
            <w:pPr>
              <w:pStyle w:val="TableContents"/>
              <w:bidi w:val="0"/>
              <w:spacing w:before="0" w:after="283"/>
              <w:ind w:left="0" w:right="0" w:hanging="0"/>
              <w:jc w:val="left"/>
              <w:rPr/>
            </w:pPr>
            <w:r>
              <w:rPr/>
              <w:t> </w:t>
            </w:r>
          </w:p>
        </w:tc>
        <w:tc>
          <w:tcPr>
            <w:tcW w:w="246"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5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4,163</w:t>
            </w:r>
          </w:p>
        </w:tc>
        <w:tc>
          <w:tcPr>
            <w:tcW w:w="118" w:type="dxa"/>
            <w:tcBorders/>
            <w:shd w:fill="CCEEFF" w:val="clear"/>
            <w:vAlign w:val="center"/>
          </w:tcPr>
          <w:p>
            <w:pPr>
              <w:pStyle w:val="TableContents"/>
              <w:bidi w:val="0"/>
              <w:spacing w:before="0" w:after="283"/>
              <w:jc w:val="left"/>
              <w:rPr/>
            </w:pPr>
            <w:r>
              <w:rPr/>
              <w:t> </w:t>
            </w:r>
          </w:p>
        </w:tc>
        <w:tc>
          <w:tcPr>
            <w:tcW w:w="118" w:type="dxa"/>
            <w:tcBorders/>
            <w:shd w:fill="CCEEFF" w:val="clear"/>
            <w:vAlign w:val="center"/>
          </w:tcPr>
          <w:p>
            <w:pPr>
              <w:pStyle w:val="TableContents"/>
              <w:bidi w:val="0"/>
              <w:spacing w:before="0" w:after="283"/>
              <w:ind w:left="0" w:right="0" w:hanging="0"/>
              <w:jc w:val="left"/>
              <w:rPr/>
            </w:pPr>
            <w:r>
              <w:rPr/>
              <w:t> </w:t>
            </w:r>
          </w:p>
        </w:tc>
        <w:tc>
          <w:tcPr>
            <w:tcW w:w="246"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16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9,322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9"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6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(5,159</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01" w:type="dxa"/>
            <w:tcBorders/>
            <w:shd w:fill="CCEEFF" w:val="clear"/>
            <w:vAlign w:val="center"/>
          </w:tcPr>
          <w:p>
            <w:pPr>
              <w:pStyle w:val="TableContents"/>
              <w:bidi w:val="0"/>
              <w:spacing w:before="0" w:after="283"/>
              <w:ind w:left="0" w:right="0" w:hanging="0"/>
              <w:jc w:val="left"/>
              <w:rPr/>
            </w:pPr>
            <w:r>
              <w:rPr/>
              <w:t> </w:t>
            </w:r>
          </w:p>
        </w:tc>
        <w:tc>
          <w:tcPr>
            <w:tcW w:w="564"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(55</w:t>
            </w:r>
          </w:p>
        </w:tc>
        <w:tc>
          <w:tcPr>
            <w:tcW w:w="24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308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Gathering, transportation and treating</w:t>
            </w:r>
          </w:p>
        </w:tc>
        <w:tc>
          <w:tcPr>
            <w:tcW w:w="60" w:type="dxa"/>
            <w:tcBorders/>
            <w:shd w:fill="FFFFFF" w:val="clear"/>
            <w:vAlign w:val="center"/>
          </w:tcPr>
          <w:p>
            <w:pPr>
              <w:pStyle w:val="TableContents"/>
              <w:bidi w:val="0"/>
              <w:spacing w:before="0" w:after="283"/>
              <w:ind w:left="0" w:right="0" w:hanging="0"/>
              <w:jc w:val="left"/>
              <w:rPr/>
            </w:pPr>
            <w:r>
              <w:rPr/>
              <w:t> </w:t>
            </w:r>
          </w:p>
        </w:tc>
        <w:tc>
          <w:tcPr>
            <w:tcW w:w="246" w:type="dxa"/>
            <w:tcBorders/>
            <w:shd w:fill="FFFFFF" w:val="clear"/>
            <w:vAlign w:val="center"/>
          </w:tcPr>
          <w:p>
            <w:pPr>
              <w:pStyle w:val="TableContents"/>
              <w:bidi w:val="0"/>
              <w:spacing w:before="0" w:after="283"/>
              <w:ind w:left="0" w:right="0" w:hanging="0"/>
              <w:jc w:val="left"/>
              <w:rPr/>
            </w:pPr>
            <w:r>
              <w:rPr/>
              <w:t> </w:t>
            </w:r>
          </w:p>
        </w:tc>
        <w:tc>
          <w:tcPr>
            <w:tcW w:w="95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26</w:t>
            </w:r>
          </w:p>
        </w:tc>
        <w:tc>
          <w:tcPr>
            <w:tcW w:w="118" w:type="dxa"/>
            <w:tcBorders/>
            <w:shd w:fill="FFFFFF" w:val="clear"/>
            <w:vAlign w:val="center"/>
          </w:tcPr>
          <w:p>
            <w:pPr>
              <w:pStyle w:val="TableContents"/>
              <w:bidi w:val="0"/>
              <w:spacing w:before="0" w:after="283"/>
              <w:jc w:val="left"/>
              <w:rPr/>
            </w:pPr>
            <w:r>
              <w:rPr/>
              <w:t> </w:t>
            </w:r>
          </w:p>
        </w:tc>
        <w:tc>
          <w:tcPr>
            <w:tcW w:w="118" w:type="dxa"/>
            <w:tcBorders/>
            <w:shd w:fill="FFFFFF" w:val="clear"/>
            <w:vAlign w:val="center"/>
          </w:tcPr>
          <w:p>
            <w:pPr>
              <w:pStyle w:val="TableContents"/>
              <w:bidi w:val="0"/>
              <w:spacing w:before="0" w:after="283"/>
              <w:ind w:left="0" w:right="0" w:hanging="0"/>
              <w:jc w:val="left"/>
              <w:rPr/>
            </w:pPr>
            <w:r>
              <w:rPr/>
              <w:t> </w:t>
            </w:r>
          </w:p>
        </w:tc>
        <w:tc>
          <w:tcPr>
            <w:tcW w:w="246" w:type="dxa"/>
            <w:tcBorders/>
            <w:shd w:fill="FFFFFF" w:val="clear"/>
            <w:vAlign w:val="center"/>
          </w:tcPr>
          <w:p>
            <w:pPr>
              <w:pStyle w:val="TableContents"/>
              <w:bidi w:val="0"/>
              <w:spacing w:before="0" w:after="283"/>
              <w:ind w:left="0" w:right="0" w:hanging="0"/>
              <w:jc w:val="left"/>
              <w:rPr/>
            </w:pPr>
            <w:r>
              <w:rPr/>
              <w:t> </w:t>
            </w:r>
          </w:p>
        </w:tc>
        <w:tc>
          <w:tcPr>
            <w:tcW w:w="116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170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9" w:type="dxa"/>
            <w:tcBorders/>
            <w:shd w:fill="FFFFFF" w:val="clear"/>
            <w:vAlign w:val="center"/>
          </w:tcPr>
          <w:p>
            <w:pPr>
              <w:pStyle w:val="TableContents"/>
              <w:bidi w:val="0"/>
              <w:spacing w:before="0" w:after="283"/>
              <w:ind w:left="0" w:right="0" w:hanging="0"/>
              <w:jc w:val="left"/>
              <w:rPr/>
            </w:pPr>
            <w:r>
              <w:rPr/>
              <w:t> </w:t>
            </w:r>
          </w:p>
        </w:tc>
        <w:tc>
          <w:tcPr>
            <w:tcW w:w="566"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(144</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01" w:type="dxa"/>
            <w:tcBorders/>
            <w:shd w:fill="FFFFFF" w:val="clear"/>
            <w:vAlign w:val="center"/>
          </w:tcPr>
          <w:p>
            <w:pPr>
              <w:pStyle w:val="TableContents"/>
              <w:bidi w:val="0"/>
              <w:spacing w:before="0" w:after="283"/>
              <w:ind w:left="0" w:right="0" w:hanging="0"/>
              <w:jc w:val="left"/>
              <w:rPr/>
            </w:pPr>
            <w:r>
              <w:rPr/>
              <w:t> </w:t>
            </w:r>
          </w:p>
        </w:tc>
        <w:tc>
          <w:tcPr>
            <w:tcW w:w="564"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(85</w:t>
            </w:r>
          </w:p>
        </w:tc>
        <w:tc>
          <w:tcPr>
            <w:tcW w:w="24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308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Production taxes</w:t>
            </w:r>
          </w:p>
        </w:tc>
        <w:tc>
          <w:tcPr>
            <w:tcW w:w="60" w:type="dxa"/>
            <w:tcBorders/>
            <w:shd w:fill="CCEEFF" w:val="clear"/>
            <w:vAlign w:val="center"/>
          </w:tcPr>
          <w:p>
            <w:pPr>
              <w:pStyle w:val="TableContents"/>
              <w:bidi w:val="0"/>
              <w:spacing w:before="0" w:after="283"/>
              <w:ind w:left="0" w:right="0" w:hanging="0"/>
              <w:jc w:val="left"/>
              <w:rPr/>
            </w:pPr>
            <w:r>
              <w:rPr/>
              <w:t> </w:t>
            </w:r>
          </w:p>
        </w:tc>
        <w:tc>
          <w:tcPr>
            <w:tcW w:w="246" w:type="dxa"/>
            <w:tcBorders/>
            <w:shd w:fill="CCEEFF" w:val="clear"/>
            <w:vAlign w:val="center"/>
          </w:tcPr>
          <w:p>
            <w:pPr>
              <w:pStyle w:val="TableContents"/>
              <w:bidi w:val="0"/>
              <w:spacing w:before="0" w:after="283"/>
              <w:ind w:left="0" w:right="0" w:hanging="0"/>
              <w:jc w:val="left"/>
              <w:rPr/>
            </w:pPr>
            <w:r>
              <w:rPr/>
              <w:t> </w:t>
            </w:r>
          </w:p>
        </w:tc>
        <w:tc>
          <w:tcPr>
            <w:tcW w:w="95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432</w:t>
            </w:r>
          </w:p>
        </w:tc>
        <w:tc>
          <w:tcPr>
            <w:tcW w:w="118" w:type="dxa"/>
            <w:tcBorders/>
            <w:shd w:fill="CCEEFF" w:val="clear"/>
            <w:vAlign w:val="center"/>
          </w:tcPr>
          <w:p>
            <w:pPr>
              <w:pStyle w:val="TableContents"/>
              <w:bidi w:val="0"/>
              <w:spacing w:before="0" w:after="283"/>
              <w:jc w:val="left"/>
              <w:rPr/>
            </w:pPr>
            <w:r>
              <w:rPr/>
              <w:t> </w:t>
            </w:r>
          </w:p>
        </w:tc>
        <w:tc>
          <w:tcPr>
            <w:tcW w:w="118" w:type="dxa"/>
            <w:tcBorders/>
            <w:shd w:fill="CCEEFF" w:val="clear"/>
            <w:vAlign w:val="center"/>
          </w:tcPr>
          <w:p>
            <w:pPr>
              <w:pStyle w:val="TableContents"/>
              <w:bidi w:val="0"/>
              <w:spacing w:before="0" w:after="283"/>
              <w:ind w:left="0" w:right="0" w:hanging="0"/>
              <w:jc w:val="left"/>
              <w:rPr/>
            </w:pPr>
            <w:r>
              <w:rPr/>
              <w:t> </w:t>
            </w:r>
          </w:p>
        </w:tc>
        <w:tc>
          <w:tcPr>
            <w:tcW w:w="246" w:type="dxa"/>
            <w:tcBorders/>
            <w:shd w:fill="CCEEFF" w:val="clear"/>
            <w:vAlign w:val="center"/>
          </w:tcPr>
          <w:p>
            <w:pPr>
              <w:pStyle w:val="TableContents"/>
              <w:bidi w:val="0"/>
              <w:spacing w:before="0" w:after="283"/>
              <w:ind w:left="0" w:right="0" w:hanging="0"/>
              <w:jc w:val="left"/>
              <w:rPr/>
            </w:pPr>
            <w:r>
              <w:rPr/>
              <w:t> </w:t>
            </w:r>
          </w:p>
        </w:tc>
        <w:tc>
          <w:tcPr>
            <w:tcW w:w="116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1,008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9" w:type="dxa"/>
            <w:tcBorders/>
            <w:shd w:fill="CCEEFF" w:val="clear"/>
            <w:vAlign w:val="center"/>
          </w:tcPr>
          <w:p>
            <w:pPr>
              <w:pStyle w:val="TableContents"/>
              <w:bidi w:val="0"/>
              <w:spacing w:before="0" w:after="283"/>
              <w:ind w:left="0" w:right="0" w:hanging="0"/>
              <w:jc w:val="left"/>
              <w:rPr/>
            </w:pPr>
            <w:r>
              <w:rPr/>
              <w:t> </w:t>
            </w:r>
          </w:p>
        </w:tc>
        <w:tc>
          <w:tcPr>
            <w:tcW w:w="56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(576</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01" w:type="dxa"/>
            <w:tcBorders/>
            <w:shd w:fill="CCEEFF" w:val="clear"/>
            <w:vAlign w:val="center"/>
          </w:tcPr>
          <w:p>
            <w:pPr>
              <w:pStyle w:val="TableContents"/>
              <w:bidi w:val="0"/>
              <w:spacing w:before="0" w:after="283"/>
              <w:ind w:left="0" w:right="0" w:hanging="0"/>
              <w:jc w:val="left"/>
              <w:rPr/>
            </w:pPr>
            <w:r>
              <w:rPr/>
              <w:t> </w:t>
            </w:r>
          </w:p>
        </w:tc>
        <w:tc>
          <w:tcPr>
            <w:tcW w:w="564"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(57</w:t>
            </w:r>
          </w:p>
        </w:tc>
        <w:tc>
          <w:tcPr>
            <w:tcW w:w="24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3080" w:type="dxa"/>
            <w:tcBorders/>
            <w:shd w:fill="FFFF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Exploration Expense</w:t>
            </w:r>
          </w:p>
        </w:tc>
        <w:tc>
          <w:tcPr>
            <w:tcW w:w="60" w:type="dxa"/>
            <w:tcBorders/>
            <w:shd w:fill="FFFFFF" w:val="clear"/>
            <w:vAlign w:val="center"/>
          </w:tcPr>
          <w:p>
            <w:pPr>
              <w:pStyle w:val="TableContents"/>
              <w:bidi w:val="0"/>
              <w:spacing w:before="0" w:after="283"/>
              <w:jc w:val="left"/>
              <w:rPr/>
            </w:pPr>
            <w:r>
              <w:rPr/>
              <w:t> </w:t>
            </w:r>
          </w:p>
        </w:tc>
        <w:tc>
          <w:tcPr>
            <w:tcW w:w="246" w:type="dxa"/>
            <w:tcBorders/>
            <w:shd w:fill="FFFFFF" w:val="clear"/>
            <w:vAlign w:val="center"/>
          </w:tcPr>
          <w:p>
            <w:pPr>
              <w:pStyle w:val="TableContents"/>
              <w:bidi w:val="0"/>
              <w:spacing w:before="0" w:after="283"/>
              <w:jc w:val="left"/>
              <w:rPr/>
            </w:pPr>
            <w:r>
              <w:rPr/>
              <w:t> </w:t>
            </w:r>
          </w:p>
        </w:tc>
        <w:tc>
          <w:tcPr>
            <w:tcW w:w="958"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174</w:t>
            </w:r>
          </w:p>
        </w:tc>
        <w:tc>
          <w:tcPr>
            <w:tcW w:w="118" w:type="dxa"/>
            <w:tcBorders/>
            <w:shd w:fill="FFFFFF" w:val="clear"/>
            <w:vAlign w:val="center"/>
          </w:tcPr>
          <w:p>
            <w:pPr>
              <w:pStyle w:val="TableContents"/>
              <w:bidi w:val="0"/>
              <w:spacing w:before="0" w:after="283"/>
              <w:jc w:val="left"/>
              <w:rPr/>
            </w:pPr>
            <w:r>
              <w:rPr/>
              <w:t> </w:t>
            </w:r>
          </w:p>
        </w:tc>
        <w:tc>
          <w:tcPr>
            <w:tcW w:w="118" w:type="dxa"/>
            <w:tcBorders/>
            <w:shd w:fill="FFFFFF" w:val="clear"/>
            <w:vAlign w:val="center"/>
          </w:tcPr>
          <w:p>
            <w:pPr>
              <w:pStyle w:val="TableContents"/>
              <w:bidi w:val="0"/>
              <w:spacing w:before="0" w:after="283"/>
              <w:jc w:val="left"/>
              <w:rPr/>
            </w:pPr>
            <w:r>
              <w:rPr/>
              <w:t> </w:t>
            </w:r>
          </w:p>
        </w:tc>
        <w:tc>
          <w:tcPr>
            <w:tcW w:w="246" w:type="dxa"/>
            <w:tcBorders/>
            <w:shd w:fill="FFFFFF" w:val="clear"/>
            <w:vAlign w:val="center"/>
          </w:tcPr>
          <w:p>
            <w:pPr>
              <w:pStyle w:val="TableContents"/>
              <w:bidi w:val="0"/>
              <w:spacing w:before="0" w:after="283"/>
              <w:jc w:val="left"/>
              <w:rPr/>
            </w:pPr>
            <w:r>
              <w:rPr/>
              <w:t> </w:t>
            </w:r>
          </w:p>
        </w:tc>
        <w:tc>
          <w:tcPr>
            <w:tcW w:w="1165"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9" w:type="dxa"/>
            <w:tcBorders/>
            <w:shd w:fill="FFFFFF" w:val="clear"/>
            <w:vAlign w:val="center"/>
          </w:tcPr>
          <w:p>
            <w:pPr>
              <w:pStyle w:val="TableContents"/>
              <w:bidi w:val="0"/>
              <w:spacing w:before="0" w:after="283"/>
              <w:jc w:val="left"/>
              <w:rPr/>
            </w:pPr>
            <w:r>
              <w:rPr/>
              <w:t> </w:t>
            </w:r>
          </w:p>
        </w:tc>
        <w:tc>
          <w:tcPr>
            <w:tcW w:w="566"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174</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1" w:type="dxa"/>
            <w:tcBorders/>
            <w:shd w:fill="FFFFFF" w:val="clear"/>
            <w:vAlign w:val="center"/>
          </w:tcPr>
          <w:p>
            <w:pPr>
              <w:pStyle w:val="TableContents"/>
              <w:bidi w:val="0"/>
              <w:spacing w:before="0" w:after="283"/>
              <w:jc w:val="left"/>
              <w:rPr/>
            </w:pPr>
            <w:r>
              <w:rPr/>
              <w:t> </w:t>
            </w:r>
          </w:p>
        </w:tc>
        <w:tc>
          <w:tcPr>
            <w:tcW w:w="564"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100</w:t>
            </w:r>
          </w:p>
        </w:tc>
        <w:tc>
          <w:tcPr>
            <w:tcW w:w="24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30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46" w:type="dxa"/>
            <w:tcBorders/>
            <w:shd w:fill="CCEEFF" w:val="clear"/>
            <w:vAlign w:val="center"/>
          </w:tcPr>
          <w:p>
            <w:pPr>
              <w:pStyle w:val="TableContents"/>
              <w:bidi w:val="0"/>
              <w:spacing w:before="0" w:after="283"/>
              <w:jc w:val="left"/>
              <w:rPr/>
            </w:pPr>
            <w:r>
              <w:rPr/>
              <w:t> </w:t>
            </w:r>
          </w:p>
        </w:tc>
        <w:tc>
          <w:tcPr>
            <w:tcW w:w="958" w:type="dxa"/>
            <w:tcBorders/>
            <w:shd w:fill="CCEEFF" w:val="clear"/>
            <w:vAlign w:val="center"/>
          </w:tcPr>
          <w:p>
            <w:pPr>
              <w:pStyle w:val="TableContents"/>
              <w:bidi w:val="0"/>
              <w:spacing w:before="0" w:after="283"/>
              <w:jc w:val="left"/>
              <w:rPr/>
            </w:pPr>
            <w:r>
              <w:rPr/>
              <w:t> </w:t>
            </w:r>
          </w:p>
        </w:tc>
        <w:tc>
          <w:tcPr>
            <w:tcW w:w="118" w:type="dxa"/>
            <w:tcBorders/>
            <w:shd w:fill="CCEEFF" w:val="clear"/>
            <w:vAlign w:val="center"/>
          </w:tcPr>
          <w:p>
            <w:pPr>
              <w:pStyle w:val="TableContents"/>
              <w:bidi w:val="0"/>
              <w:spacing w:before="0" w:after="283"/>
              <w:jc w:val="left"/>
              <w:rPr/>
            </w:pPr>
            <w:r>
              <w:rPr/>
              <w:t> </w:t>
            </w:r>
          </w:p>
        </w:tc>
        <w:tc>
          <w:tcPr>
            <w:tcW w:w="118" w:type="dxa"/>
            <w:tcBorders/>
            <w:shd w:fill="CCEEFF" w:val="clear"/>
            <w:vAlign w:val="center"/>
          </w:tcPr>
          <w:p>
            <w:pPr>
              <w:pStyle w:val="TableContents"/>
              <w:bidi w:val="0"/>
              <w:spacing w:before="0" w:after="283"/>
              <w:jc w:val="left"/>
              <w:rPr/>
            </w:pPr>
            <w:r>
              <w:rPr/>
              <w:t> </w:t>
            </w:r>
          </w:p>
        </w:tc>
        <w:tc>
          <w:tcPr>
            <w:tcW w:w="246" w:type="dxa"/>
            <w:tcBorders/>
            <w:shd w:fill="CCEEFF" w:val="clear"/>
            <w:vAlign w:val="center"/>
          </w:tcPr>
          <w:p>
            <w:pPr>
              <w:pStyle w:val="TableContents"/>
              <w:bidi w:val="0"/>
              <w:spacing w:before="0" w:after="283"/>
              <w:jc w:val="left"/>
              <w:rPr/>
            </w:pPr>
            <w:r>
              <w:rPr/>
              <w:t> </w:t>
            </w:r>
          </w:p>
        </w:tc>
        <w:tc>
          <w:tcPr>
            <w:tcW w:w="116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9" w:type="dxa"/>
            <w:tcBorders/>
            <w:shd w:fill="CCEEFF" w:val="clear"/>
            <w:vAlign w:val="center"/>
          </w:tcPr>
          <w:p>
            <w:pPr>
              <w:pStyle w:val="TableContents"/>
              <w:bidi w:val="0"/>
              <w:spacing w:before="0" w:after="283"/>
              <w:jc w:val="left"/>
              <w:rPr/>
            </w:pPr>
            <w:r>
              <w:rPr/>
              <w:t> </w:t>
            </w:r>
          </w:p>
        </w:tc>
        <w:tc>
          <w:tcPr>
            <w:tcW w:w="566"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1" w:type="dxa"/>
            <w:tcBorders/>
            <w:shd w:fill="CCEEFF" w:val="clear"/>
            <w:vAlign w:val="center"/>
          </w:tcPr>
          <w:p>
            <w:pPr>
              <w:pStyle w:val="TableContents"/>
              <w:bidi w:val="0"/>
              <w:spacing w:before="0" w:after="283"/>
              <w:jc w:val="left"/>
              <w:rPr/>
            </w:pPr>
            <w:r>
              <w:rPr/>
              <w:t> </w:t>
            </w:r>
          </w:p>
        </w:tc>
        <w:tc>
          <w:tcPr>
            <w:tcW w:w="564" w:type="dxa"/>
            <w:tcBorders/>
            <w:shd w:fill="CCEEFF" w:val="clear"/>
            <w:vAlign w:val="center"/>
          </w:tcPr>
          <w:p>
            <w:pPr>
              <w:pStyle w:val="TableContents"/>
              <w:bidi w:val="0"/>
              <w:spacing w:before="0" w:after="283"/>
              <w:jc w:val="left"/>
              <w:rPr/>
            </w:pPr>
            <w:r>
              <w:rPr/>
              <w:t> </w:t>
            </w:r>
          </w:p>
        </w:tc>
        <w:tc>
          <w:tcPr>
            <w:tcW w:w="245" w:type="dxa"/>
            <w:tcBorders/>
            <w:shd w:fill="CCEEFF" w:val="clear"/>
            <w:vAlign w:val="center"/>
          </w:tcPr>
          <w:p>
            <w:pPr>
              <w:pStyle w:val="TableContents"/>
              <w:bidi w:val="0"/>
              <w:spacing w:before="0" w:after="283"/>
              <w:jc w:val="left"/>
              <w:rPr/>
            </w:pPr>
            <w:r>
              <w:rPr/>
              <w:t> </w:t>
            </w:r>
          </w:p>
        </w:tc>
      </w:tr>
      <w:tr>
        <w:trPr/>
        <w:tc>
          <w:tcPr>
            <w:tcW w:w="3080"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w:t>
            </w:r>
          </w:p>
        </w:tc>
        <w:tc>
          <w:tcPr>
            <w:tcW w:w="60" w:type="dxa"/>
            <w:tcBorders/>
            <w:shd w:fill="FFFFFF" w:val="clear"/>
            <w:vAlign w:val="center"/>
          </w:tcPr>
          <w:p>
            <w:pPr>
              <w:pStyle w:val="TableContents"/>
              <w:bidi w:val="0"/>
              <w:spacing w:before="0" w:after="283"/>
              <w:ind w:left="0" w:right="0" w:hanging="0"/>
              <w:jc w:val="left"/>
              <w:rPr/>
            </w:pPr>
            <w:r>
              <w:rPr/>
              <w:t> </w:t>
            </w:r>
          </w:p>
        </w:tc>
        <w:tc>
          <w:tcPr>
            <w:tcW w:w="246"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58"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4,795</w:t>
            </w:r>
          </w:p>
        </w:tc>
        <w:tc>
          <w:tcPr>
            <w:tcW w:w="118" w:type="dxa"/>
            <w:tcBorders/>
            <w:shd w:fill="FFFFFF" w:val="clear"/>
            <w:vAlign w:val="center"/>
          </w:tcPr>
          <w:p>
            <w:pPr>
              <w:pStyle w:val="TableContents"/>
              <w:bidi w:val="0"/>
              <w:spacing w:before="0" w:after="283"/>
              <w:jc w:val="left"/>
              <w:rPr/>
            </w:pPr>
            <w:r>
              <w:rPr/>
              <w:t> </w:t>
            </w:r>
          </w:p>
        </w:tc>
        <w:tc>
          <w:tcPr>
            <w:tcW w:w="118" w:type="dxa"/>
            <w:tcBorders/>
            <w:shd w:fill="FFFFFF" w:val="clear"/>
            <w:vAlign w:val="center"/>
          </w:tcPr>
          <w:p>
            <w:pPr>
              <w:pStyle w:val="TableContents"/>
              <w:bidi w:val="0"/>
              <w:spacing w:before="0" w:after="283"/>
              <w:ind w:left="0" w:right="0" w:hanging="0"/>
              <w:jc w:val="left"/>
              <w:rPr/>
            </w:pPr>
            <w:r>
              <w:rPr/>
              <w:t> </w:t>
            </w:r>
          </w:p>
        </w:tc>
        <w:tc>
          <w:tcPr>
            <w:tcW w:w="246"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16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10,500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9"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66"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(5,705</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01"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564"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(54</w:t>
            </w:r>
          </w:p>
        </w:tc>
        <w:tc>
          <w:tcPr>
            <w:tcW w:w="245"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308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246" w:type="dxa"/>
            <w:tcBorders/>
            <w:shd w:fill="CCEEFF" w:val="clear"/>
            <w:vAlign w:val="center"/>
          </w:tcPr>
          <w:p>
            <w:pPr>
              <w:pStyle w:val="TableContents"/>
              <w:bidi w:val="0"/>
              <w:spacing w:before="0" w:after="0"/>
              <w:ind w:left="0" w:right="0" w:hanging="0"/>
              <w:jc w:val="left"/>
              <w:rPr/>
            </w:pPr>
            <w:r>
              <w:rPr/>
              <w:t> </w:t>
            </w:r>
          </w:p>
        </w:tc>
        <w:tc>
          <w:tcPr>
            <w:tcW w:w="958" w:type="dxa"/>
            <w:tcBorders/>
            <w:shd w:fill="CCEEFF" w:val="clear"/>
            <w:vAlign w:val="center"/>
          </w:tcPr>
          <w:p>
            <w:pPr>
              <w:pStyle w:val="TableContents"/>
              <w:bidi w:val="0"/>
              <w:spacing w:before="0" w:after="0"/>
              <w:ind w:left="0" w:right="0" w:hanging="0"/>
              <w:jc w:val="left"/>
              <w:rPr/>
            </w:pPr>
            <w:r>
              <w:rPr/>
              <w:t> </w:t>
            </w:r>
          </w:p>
        </w:tc>
        <w:tc>
          <w:tcPr>
            <w:tcW w:w="118" w:type="dxa"/>
            <w:tcBorders/>
            <w:shd w:fill="CCEEFF" w:val="clear"/>
            <w:vAlign w:val="center"/>
          </w:tcPr>
          <w:p>
            <w:pPr>
              <w:pStyle w:val="TableContents"/>
              <w:bidi w:val="0"/>
              <w:spacing w:before="0" w:after="0"/>
              <w:ind w:left="0" w:right="0" w:hanging="0"/>
              <w:jc w:val="left"/>
              <w:rPr/>
            </w:pPr>
            <w:r>
              <w:rPr/>
              <w:t> </w:t>
            </w:r>
          </w:p>
        </w:tc>
        <w:tc>
          <w:tcPr>
            <w:tcW w:w="118" w:type="dxa"/>
            <w:tcBorders/>
            <w:shd w:fill="CCEEFF" w:val="clear"/>
            <w:vAlign w:val="center"/>
          </w:tcPr>
          <w:p>
            <w:pPr>
              <w:pStyle w:val="TableContents"/>
              <w:bidi w:val="0"/>
              <w:spacing w:before="0" w:after="0"/>
              <w:ind w:left="0" w:right="0" w:hanging="0"/>
              <w:jc w:val="left"/>
              <w:rPr/>
            </w:pPr>
            <w:r>
              <w:rPr/>
              <w:t> </w:t>
            </w:r>
          </w:p>
        </w:tc>
        <w:tc>
          <w:tcPr>
            <w:tcW w:w="246" w:type="dxa"/>
            <w:tcBorders/>
            <w:shd w:fill="CCEEFF" w:val="clear"/>
            <w:vAlign w:val="center"/>
          </w:tcPr>
          <w:p>
            <w:pPr>
              <w:pStyle w:val="TableContents"/>
              <w:bidi w:val="0"/>
              <w:spacing w:before="0" w:after="0"/>
              <w:ind w:left="0" w:right="0" w:hanging="0"/>
              <w:jc w:val="left"/>
              <w:rPr/>
            </w:pPr>
            <w:r>
              <w:rPr/>
              <w:t> </w:t>
            </w:r>
          </w:p>
        </w:tc>
        <w:tc>
          <w:tcPr>
            <w:tcW w:w="1165"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129" w:type="dxa"/>
            <w:tcBorders/>
            <w:shd w:fill="CCEEFF" w:val="clear"/>
            <w:vAlign w:val="center"/>
          </w:tcPr>
          <w:p>
            <w:pPr>
              <w:pStyle w:val="TableContents"/>
              <w:bidi w:val="0"/>
              <w:spacing w:before="0" w:after="0"/>
              <w:ind w:left="0" w:right="0" w:hanging="0"/>
              <w:jc w:val="left"/>
              <w:rPr/>
            </w:pPr>
            <w:r>
              <w:rPr/>
              <w:t> </w:t>
            </w:r>
          </w:p>
        </w:tc>
        <w:tc>
          <w:tcPr>
            <w:tcW w:w="566" w:type="dxa"/>
            <w:tcBorders/>
            <w:shd w:fill="CCEEFF" w:val="clear"/>
            <w:vAlign w:val="center"/>
          </w:tcPr>
          <w:p>
            <w:pPr>
              <w:pStyle w:val="TableContents"/>
              <w:bidi w:val="0"/>
              <w:spacing w:before="0" w:after="0"/>
              <w:ind w:left="0" w:right="0" w:hanging="0"/>
              <w:jc w:val="left"/>
              <w:rPr/>
            </w:pPr>
            <w:r>
              <w:rPr/>
              <w:t> </w:t>
            </w:r>
          </w:p>
        </w:tc>
        <w:tc>
          <w:tcPr>
            <w:tcW w:w="8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101" w:type="dxa"/>
            <w:tcBorders/>
            <w:shd w:fill="CCEEFF" w:val="clear"/>
            <w:vAlign w:val="center"/>
          </w:tcPr>
          <w:p>
            <w:pPr>
              <w:pStyle w:val="TableContents"/>
              <w:bidi w:val="0"/>
              <w:spacing w:before="0" w:after="0"/>
              <w:ind w:left="0" w:right="0" w:hanging="0"/>
              <w:jc w:val="left"/>
              <w:rPr/>
            </w:pPr>
            <w:r>
              <w:rPr/>
              <w:t> </w:t>
            </w:r>
          </w:p>
        </w:tc>
        <w:tc>
          <w:tcPr>
            <w:tcW w:w="564" w:type="dxa"/>
            <w:tcBorders/>
            <w:shd w:fill="CCEEFF" w:val="clear"/>
            <w:vAlign w:val="center"/>
          </w:tcPr>
          <w:p>
            <w:pPr>
              <w:pStyle w:val="TableContents"/>
              <w:bidi w:val="0"/>
              <w:spacing w:before="0" w:after="0"/>
              <w:ind w:left="0" w:right="0" w:hanging="0"/>
              <w:jc w:val="left"/>
              <w:rPr/>
            </w:pPr>
            <w:r>
              <w:rPr/>
              <w:t> </w:t>
            </w:r>
          </w:p>
        </w:tc>
        <w:tc>
          <w:tcPr>
            <w:tcW w:w="245" w:type="dxa"/>
            <w:tcBorders/>
            <w:shd w:fill="CCEEFF" w:val="clear"/>
            <w:vAlign w:val="center"/>
          </w:tcPr>
          <w:p>
            <w:pPr>
              <w:pStyle w:val="TableContents"/>
              <w:bidi w:val="0"/>
              <w:spacing w:before="0" w:after="0"/>
              <w:jc w:val="left"/>
              <w:rPr/>
            </w:pPr>
            <w:r>
              <w:rPr/>
              <w:t> </w:t>
            </w:r>
          </w:p>
        </w:tc>
      </w:tr>
      <w:tr>
        <w:trPr/>
        <w:tc>
          <w:tcPr>
            <w:tcW w:w="3080"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Lease operating expense per BOE</w:t>
            </w:r>
          </w:p>
        </w:tc>
        <w:tc>
          <w:tcPr>
            <w:tcW w:w="60" w:type="dxa"/>
            <w:tcBorders/>
            <w:shd w:fill="FFFFFF" w:val="clear"/>
            <w:vAlign w:val="center"/>
          </w:tcPr>
          <w:p>
            <w:pPr>
              <w:pStyle w:val="TableContents"/>
              <w:bidi w:val="0"/>
              <w:spacing w:before="0" w:after="283"/>
              <w:ind w:left="0" w:right="0" w:hanging="0"/>
              <w:jc w:val="left"/>
              <w:rPr/>
            </w:pPr>
            <w:r>
              <w:rPr/>
              <w:t> </w:t>
            </w:r>
          </w:p>
        </w:tc>
        <w:tc>
          <w:tcPr>
            <w:tcW w:w="246"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5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31.74</w:t>
            </w:r>
          </w:p>
        </w:tc>
        <w:tc>
          <w:tcPr>
            <w:tcW w:w="118" w:type="dxa"/>
            <w:tcBorders/>
            <w:shd w:fill="FFFFFF" w:val="clear"/>
            <w:vAlign w:val="center"/>
          </w:tcPr>
          <w:p>
            <w:pPr>
              <w:pStyle w:val="TableContents"/>
              <w:bidi w:val="0"/>
              <w:spacing w:before="0" w:after="283"/>
              <w:jc w:val="left"/>
              <w:rPr/>
            </w:pPr>
            <w:r>
              <w:rPr/>
              <w:t> </w:t>
            </w:r>
          </w:p>
        </w:tc>
        <w:tc>
          <w:tcPr>
            <w:tcW w:w="118" w:type="dxa"/>
            <w:tcBorders/>
            <w:shd w:fill="FFFFFF" w:val="clear"/>
            <w:vAlign w:val="center"/>
          </w:tcPr>
          <w:p>
            <w:pPr>
              <w:pStyle w:val="TableContents"/>
              <w:bidi w:val="0"/>
              <w:spacing w:before="0" w:after="283"/>
              <w:ind w:left="0" w:right="0" w:hanging="0"/>
              <w:jc w:val="left"/>
              <w:rPr/>
            </w:pPr>
            <w:r>
              <w:rPr/>
              <w:t> </w:t>
            </w:r>
          </w:p>
        </w:tc>
        <w:tc>
          <w:tcPr>
            <w:tcW w:w="246"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16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28.54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9"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66"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3.20</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1" w:type="dxa"/>
            <w:tcBorders/>
            <w:shd w:fill="FFFFFF" w:val="clear"/>
            <w:vAlign w:val="center"/>
          </w:tcPr>
          <w:p>
            <w:pPr>
              <w:pStyle w:val="TableContents"/>
              <w:bidi w:val="0"/>
              <w:spacing w:before="0" w:after="283"/>
              <w:ind w:left="0" w:right="0" w:hanging="0"/>
              <w:jc w:val="left"/>
              <w:rPr/>
            </w:pPr>
            <w:r>
              <w:rPr/>
              <w:t> </w:t>
            </w:r>
          </w:p>
        </w:tc>
        <w:tc>
          <w:tcPr>
            <w:tcW w:w="564"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w:t>
            </w:r>
          </w:p>
        </w:tc>
        <w:tc>
          <w:tcPr>
            <w:tcW w:w="245"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308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246" w:type="dxa"/>
            <w:tcBorders/>
            <w:shd w:fill="CCEEFF" w:val="clear"/>
            <w:vAlign w:val="center"/>
          </w:tcPr>
          <w:p>
            <w:pPr>
              <w:pStyle w:val="TableContents"/>
              <w:bidi w:val="0"/>
              <w:spacing w:before="0" w:after="0"/>
              <w:ind w:left="0" w:right="0" w:hanging="0"/>
              <w:jc w:val="left"/>
              <w:rPr/>
            </w:pPr>
            <w:r>
              <w:rPr/>
              <w:t> </w:t>
            </w:r>
          </w:p>
        </w:tc>
        <w:tc>
          <w:tcPr>
            <w:tcW w:w="958" w:type="dxa"/>
            <w:tcBorders/>
            <w:shd w:fill="CCEEFF" w:val="clear"/>
            <w:vAlign w:val="center"/>
          </w:tcPr>
          <w:p>
            <w:pPr>
              <w:pStyle w:val="TableContents"/>
              <w:bidi w:val="0"/>
              <w:spacing w:before="0" w:after="0"/>
              <w:ind w:left="0" w:right="0" w:hanging="0"/>
              <w:jc w:val="left"/>
              <w:rPr/>
            </w:pPr>
            <w:r>
              <w:rPr/>
              <w:t> </w:t>
            </w:r>
          </w:p>
        </w:tc>
        <w:tc>
          <w:tcPr>
            <w:tcW w:w="118" w:type="dxa"/>
            <w:tcBorders/>
            <w:shd w:fill="CCEEFF" w:val="clear"/>
            <w:vAlign w:val="center"/>
          </w:tcPr>
          <w:p>
            <w:pPr>
              <w:pStyle w:val="TableContents"/>
              <w:bidi w:val="0"/>
              <w:spacing w:before="0" w:after="0"/>
              <w:ind w:left="0" w:right="0" w:hanging="0"/>
              <w:jc w:val="left"/>
              <w:rPr/>
            </w:pPr>
            <w:r>
              <w:rPr/>
              <w:t> </w:t>
            </w:r>
          </w:p>
        </w:tc>
        <w:tc>
          <w:tcPr>
            <w:tcW w:w="118" w:type="dxa"/>
            <w:tcBorders/>
            <w:shd w:fill="CCEEFF" w:val="clear"/>
            <w:vAlign w:val="center"/>
          </w:tcPr>
          <w:p>
            <w:pPr>
              <w:pStyle w:val="TableContents"/>
              <w:bidi w:val="0"/>
              <w:spacing w:before="0" w:after="0"/>
              <w:ind w:left="0" w:right="0" w:hanging="0"/>
              <w:jc w:val="left"/>
              <w:rPr/>
            </w:pPr>
            <w:r>
              <w:rPr/>
              <w:t> </w:t>
            </w:r>
          </w:p>
        </w:tc>
        <w:tc>
          <w:tcPr>
            <w:tcW w:w="246" w:type="dxa"/>
            <w:tcBorders/>
            <w:shd w:fill="CCEEFF" w:val="clear"/>
            <w:vAlign w:val="center"/>
          </w:tcPr>
          <w:p>
            <w:pPr>
              <w:pStyle w:val="TableContents"/>
              <w:bidi w:val="0"/>
              <w:spacing w:before="0" w:after="0"/>
              <w:ind w:left="0" w:right="0" w:hanging="0"/>
              <w:jc w:val="left"/>
              <w:rPr/>
            </w:pPr>
            <w:r>
              <w:rPr/>
              <w:t> </w:t>
            </w:r>
          </w:p>
        </w:tc>
        <w:tc>
          <w:tcPr>
            <w:tcW w:w="1165"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129" w:type="dxa"/>
            <w:tcBorders/>
            <w:shd w:fill="CCEEFF" w:val="clear"/>
            <w:vAlign w:val="center"/>
          </w:tcPr>
          <w:p>
            <w:pPr>
              <w:pStyle w:val="TableContents"/>
              <w:bidi w:val="0"/>
              <w:spacing w:before="0" w:after="0"/>
              <w:ind w:left="0" w:right="0" w:hanging="0"/>
              <w:jc w:val="left"/>
              <w:rPr/>
            </w:pPr>
            <w:r>
              <w:rPr/>
              <w:t> </w:t>
            </w:r>
          </w:p>
        </w:tc>
        <w:tc>
          <w:tcPr>
            <w:tcW w:w="566" w:type="dxa"/>
            <w:tcBorders/>
            <w:shd w:fill="CCEEFF" w:val="clear"/>
            <w:vAlign w:val="center"/>
          </w:tcPr>
          <w:p>
            <w:pPr>
              <w:pStyle w:val="TableContents"/>
              <w:bidi w:val="0"/>
              <w:spacing w:before="0" w:after="0"/>
              <w:ind w:left="0" w:right="0" w:hanging="0"/>
              <w:jc w:val="left"/>
              <w:rPr/>
            </w:pPr>
            <w:r>
              <w:rPr/>
              <w:t> </w:t>
            </w:r>
          </w:p>
        </w:tc>
        <w:tc>
          <w:tcPr>
            <w:tcW w:w="8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101" w:type="dxa"/>
            <w:tcBorders/>
            <w:shd w:fill="CCEEFF" w:val="clear"/>
            <w:vAlign w:val="center"/>
          </w:tcPr>
          <w:p>
            <w:pPr>
              <w:pStyle w:val="TableContents"/>
              <w:bidi w:val="0"/>
              <w:spacing w:before="0" w:after="0"/>
              <w:ind w:left="0" w:right="0" w:hanging="0"/>
              <w:jc w:val="left"/>
              <w:rPr/>
            </w:pPr>
            <w:r>
              <w:rPr/>
              <w:t> </w:t>
            </w:r>
          </w:p>
        </w:tc>
        <w:tc>
          <w:tcPr>
            <w:tcW w:w="564" w:type="dxa"/>
            <w:tcBorders/>
            <w:shd w:fill="CCEEFF" w:val="clear"/>
            <w:vAlign w:val="center"/>
          </w:tcPr>
          <w:p>
            <w:pPr>
              <w:pStyle w:val="TableContents"/>
              <w:bidi w:val="0"/>
              <w:spacing w:before="0" w:after="0"/>
              <w:ind w:left="0" w:right="0" w:hanging="0"/>
              <w:jc w:val="left"/>
              <w:rPr/>
            </w:pPr>
            <w:r>
              <w:rPr/>
              <w:t> </w:t>
            </w:r>
          </w:p>
        </w:tc>
        <w:tc>
          <w:tcPr>
            <w:tcW w:w="245" w:type="dxa"/>
            <w:tcBorders/>
            <w:shd w:fill="CCEEFF" w:val="clear"/>
            <w:vAlign w:val="center"/>
          </w:tcPr>
          <w:p>
            <w:pPr>
              <w:pStyle w:val="TableContents"/>
              <w:bidi w:val="0"/>
              <w:spacing w:before="0" w:after="0"/>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For the nine months ended September 30, 2025, lease operating expenses were $4.2 million or $31.74 per BOE. While lease operating expenses decreased by $5.2 million when compared to the $9.3 million or $28.54 per BOE for the nine months ended September 30, 2024, the cost on a BOE basis increased as the mix of properties changed because of the divestment of our Karnes County, East Texas, and Mid-con properties.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For the nine months ended September 30, 2025, the gathering, transportation, and treating expense decrease was attributable to the divestiture of properties that included gathering and transportation costs in the second half of 2024.</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For the nine months ended September 30, 2025, production taxes consistently remain between 6% and 7% of revenue. This decrease in production taxes was attributable to the decrease in revenue of 64% discussed above.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For the nine months ended September 30, 2025, exploration expense increased by $174 thousand due to exploration activities related to industrial gas development. The Company revised the presentation of its statement of operations to separately disclose exploration expense, which was previously included in acquisition related costs in the second quarter. The reclassification was made to enhance comparability and provide greater transparency regarding exploration activities.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i/>
          <w:caps w:val="false"/>
          <w:smallCaps w:val="false"/>
          <w:sz w:val="20"/>
        </w:rPr>
        <w:t xml:space="preserve">Depreciation, Depletion and Amortization. </w:t>
      </w:r>
      <w:r>
        <w:rPr>
          <w:rFonts w:ascii="Times New Roman" w:hAnsi="Times New Roman"/>
          <w:caps w:val="false"/>
          <w:smallCaps w:val="false"/>
          <w:sz w:val="20"/>
        </w:rPr>
        <w:t>Our depreciation, depletion, and amortization (“DD&amp;A”) was $3.1 million and $6.4 million for the nine months ended September 30, 2025 and 2024, respectively. Depletion expense on our oil and natural gas properties is the primary driver of DD&amp;A expense.  Our depletion rate was $14.54 per BOE and $15.39 per BOE for the nine months ended September 30, 2025 and 2024, respectively. Our depletion rate can fluctuate because of acquisitions, changes in drilling and completion costs, impairments, revisions in asset retirement obligation cost estimates or timing, divestitures, changes in the mix of our production, the underlying proved reserve volumes and estimated future development costs.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i/>
          <w:caps w:val="false"/>
          <w:smallCaps w:val="false"/>
          <w:sz w:val="20"/>
        </w:rPr>
        <w:t>Impairment of oil and natural gas properties</w:t>
      </w:r>
      <w:r>
        <w:rPr>
          <w:rFonts w:ascii="Times New Roman" w:hAnsi="Times New Roman"/>
          <w:caps w:val="false"/>
          <w:smallCaps w:val="false"/>
          <w:sz w:val="20"/>
        </w:rPr>
        <w:t>.  The Company recorded a ceiling test write down of $3.6 million for the nine months ended September 30, 2025, resulting from a decrease in commodity prices used in the full cost pool ceiling test calculation. The Company recorded a $6.8 million ceiling test write-down of its oil and gas properties during the nine months ended September 30, 2024, due to a reduction in the value of proved oil and natural gas reserves. The reduction was primarily due to lower commodity prices used in the full cost pool ceiling test, as well as reserves revisions related to wells shut-in during the first quarter of 2024 and updates to the decline curves for certain wells.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25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i/>
          <w:caps w:val="false"/>
          <w:smallCaps w:val="false"/>
          <w:sz w:val="20"/>
        </w:rPr>
        <w:t xml:space="preserve">General and Administrative Expenses. </w:t>
      </w:r>
      <w:r>
        <w:rPr>
          <w:rFonts w:ascii="Times New Roman" w:hAnsi="Times New Roman"/>
          <w:caps w:val="false"/>
          <w:smallCaps w:val="false"/>
          <w:sz w:val="20"/>
        </w:rPr>
        <w:t>Presented below is a comparison of our general and administrative expenses for the nine months ended September 30, 2025 and 2024:</w:t>
      </w:r>
    </w:p>
    <w:p>
      <w:pPr>
        <w:pStyle w:val="TextBody"/>
        <w:bidi w:val="0"/>
        <w:spacing w:before="0" w:after="0"/>
        <w:ind w:left="0" w:right="0" w:hanging="0"/>
        <w:jc w:val="left"/>
        <w:rPr/>
      </w:pPr>
      <w:r>
        <w:rPr/>
        <w:t> </w:t>
      </w:r>
    </w:p>
    <w:tbl>
      <w:tblPr>
        <w:tblW w:w="8217" w:type="dxa"/>
        <w:jc w:val="left"/>
        <w:tblInd w:w="0" w:type="dxa"/>
        <w:tblLayout w:type="fixed"/>
        <w:tblCellMar>
          <w:top w:w="0" w:type="dxa"/>
          <w:left w:w="0" w:type="dxa"/>
          <w:bottom w:w="0" w:type="dxa"/>
          <w:right w:w="0" w:type="dxa"/>
        </w:tblCellMar>
      </w:tblPr>
      <w:tblGrid>
        <w:gridCol w:w="3440"/>
        <w:gridCol w:w="60"/>
        <w:gridCol w:w="266"/>
        <w:gridCol w:w="1033"/>
        <w:gridCol w:w="127"/>
        <w:gridCol w:w="127"/>
        <w:gridCol w:w="266"/>
        <w:gridCol w:w="1033"/>
        <w:gridCol w:w="60"/>
        <w:gridCol w:w="60"/>
        <w:gridCol w:w="167"/>
        <w:gridCol w:w="528"/>
        <w:gridCol w:w="80"/>
        <w:gridCol w:w="60"/>
        <w:gridCol w:w="114"/>
        <w:gridCol w:w="551"/>
        <w:gridCol w:w="245"/>
      </w:tblGrid>
      <w:tr>
        <w:trPr/>
        <w:tc>
          <w:tcPr>
            <w:tcW w:w="344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852"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Nine months ended September 30,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500"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Change</w:t>
            </w:r>
          </w:p>
        </w:tc>
        <w:tc>
          <w:tcPr>
            <w:tcW w:w="245" w:type="dxa"/>
            <w:tcBorders/>
            <w:shd w:fill="FFFFFF" w:val="clear"/>
            <w:vAlign w:val="center"/>
          </w:tcPr>
          <w:p>
            <w:pPr>
              <w:pStyle w:val="TableContents"/>
              <w:bidi w:val="0"/>
              <w:spacing w:before="0" w:after="283"/>
              <w:jc w:val="left"/>
              <w:rPr/>
            </w:pPr>
            <w:r>
              <w:rPr/>
              <w:t> </w:t>
            </w:r>
          </w:p>
        </w:tc>
      </w:tr>
      <w:tr>
        <w:trPr/>
        <w:tc>
          <w:tcPr>
            <w:tcW w:w="344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99"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2025</w:t>
            </w:r>
          </w:p>
        </w:tc>
        <w:tc>
          <w:tcPr>
            <w:tcW w:w="127" w:type="dxa"/>
            <w:tcBorders/>
            <w:shd w:fill="FFFFFF" w:val="clear"/>
            <w:vAlign w:val="center"/>
          </w:tcPr>
          <w:p>
            <w:pPr>
              <w:pStyle w:val="TableContents"/>
              <w:bidi w:val="0"/>
              <w:spacing w:before="0" w:after="283"/>
              <w:jc w:val="left"/>
              <w:rPr/>
            </w:pPr>
            <w:r>
              <w:rPr/>
              <w:t> </w:t>
            </w:r>
          </w:p>
        </w:tc>
        <w:tc>
          <w:tcPr>
            <w:tcW w:w="127" w:type="dxa"/>
            <w:tcBorders/>
            <w:shd w:fill="FFFFFF" w:val="clear"/>
            <w:vAlign w:val="center"/>
          </w:tcPr>
          <w:p>
            <w:pPr>
              <w:pStyle w:val="TableContents"/>
              <w:bidi w:val="0"/>
              <w:spacing w:before="0" w:after="283"/>
              <w:ind w:left="0" w:right="0" w:hanging="0"/>
              <w:jc w:val="left"/>
              <w:rPr/>
            </w:pPr>
            <w:r>
              <w:rPr/>
              <w:t> </w:t>
            </w:r>
          </w:p>
        </w:tc>
        <w:tc>
          <w:tcPr>
            <w:tcW w:w="1299"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69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Amount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66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Percent</w:t>
            </w:r>
          </w:p>
        </w:tc>
        <w:tc>
          <w:tcPr>
            <w:tcW w:w="245" w:type="dxa"/>
            <w:tcBorders/>
            <w:shd w:fill="FFFFFF" w:val="clear"/>
            <w:vAlign w:val="center"/>
          </w:tcPr>
          <w:p>
            <w:pPr>
              <w:pStyle w:val="TableContents"/>
              <w:bidi w:val="0"/>
              <w:spacing w:before="0" w:after="283"/>
              <w:jc w:val="left"/>
              <w:rPr/>
            </w:pPr>
            <w:r>
              <w:rPr/>
              <w:t> </w:t>
            </w:r>
          </w:p>
        </w:tc>
      </w:tr>
      <w:tr>
        <w:trPr/>
        <w:tc>
          <w:tcPr>
            <w:tcW w:w="344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4472" w:type="dxa"/>
            <w:gridSpan w:val="14"/>
            <w:tcBorders/>
            <w:shd w:fill="FFFFFF" w:val="cle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(in thousands)</w:t>
            </w:r>
          </w:p>
        </w:tc>
        <w:tc>
          <w:tcPr>
            <w:tcW w:w="245" w:type="dxa"/>
            <w:tcBorders/>
            <w:shd w:fill="FFFFFF" w:val="clear"/>
            <w:vAlign w:val="center"/>
          </w:tcPr>
          <w:p>
            <w:pPr>
              <w:pStyle w:val="TableContents"/>
              <w:bidi w:val="0"/>
              <w:spacing w:before="0" w:after="283"/>
              <w:jc w:val="left"/>
              <w:rPr/>
            </w:pPr>
            <w:r>
              <w:rPr/>
              <w:t> </w:t>
            </w:r>
          </w:p>
        </w:tc>
      </w:tr>
      <w:tr>
        <w:trPr/>
        <w:tc>
          <w:tcPr>
            <w:tcW w:w="344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Compensation and benefits</w:t>
            </w:r>
          </w:p>
        </w:tc>
        <w:tc>
          <w:tcPr>
            <w:tcW w:w="60" w:type="dxa"/>
            <w:tcBorders/>
            <w:shd w:fill="CCEEFF" w:val="clear"/>
            <w:vAlign w:val="center"/>
          </w:tcPr>
          <w:p>
            <w:pPr>
              <w:pStyle w:val="TableContents"/>
              <w:bidi w:val="0"/>
              <w:spacing w:before="0" w:after="283"/>
              <w:ind w:left="0" w:right="0" w:hanging="0"/>
              <w:jc w:val="left"/>
              <w:rPr/>
            </w:pPr>
            <w:r>
              <w:rPr/>
              <w:t> </w:t>
            </w:r>
          </w:p>
        </w:tc>
        <w:tc>
          <w:tcPr>
            <w:tcW w:w="266"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33"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2,246</w:t>
            </w:r>
          </w:p>
        </w:tc>
        <w:tc>
          <w:tcPr>
            <w:tcW w:w="127" w:type="dxa"/>
            <w:tcBorders/>
            <w:shd w:fill="CCEEFF" w:val="clear"/>
            <w:vAlign w:val="center"/>
          </w:tcPr>
          <w:p>
            <w:pPr>
              <w:pStyle w:val="TableContents"/>
              <w:bidi w:val="0"/>
              <w:spacing w:before="0" w:after="283"/>
              <w:jc w:val="left"/>
              <w:rPr/>
            </w:pPr>
            <w:r>
              <w:rPr/>
              <w:t> </w:t>
            </w:r>
          </w:p>
        </w:tc>
        <w:tc>
          <w:tcPr>
            <w:tcW w:w="127" w:type="dxa"/>
            <w:tcBorders/>
            <w:shd w:fill="CCEEFF" w:val="clear"/>
            <w:vAlign w:val="center"/>
          </w:tcPr>
          <w:p>
            <w:pPr>
              <w:pStyle w:val="TableContents"/>
              <w:bidi w:val="0"/>
              <w:spacing w:before="0" w:after="283"/>
              <w:ind w:left="0" w:right="0" w:hanging="0"/>
              <w:jc w:val="left"/>
              <w:rPr/>
            </w:pPr>
            <w:r>
              <w:rPr/>
              <w:t> </w:t>
            </w:r>
          </w:p>
        </w:tc>
        <w:tc>
          <w:tcPr>
            <w:tcW w:w="266"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33"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2,888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67"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2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(642</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14" w:type="dxa"/>
            <w:tcBorders/>
            <w:shd w:fill="CCEEFF" w:val="clear"/>
            <w:vAlign w:val="center"/>
          </w:tcPr>
          <w:p>
            <w:pPr>
              <w:pStyle w:val="TableContents"/>
              <w:bidi w:val="0"/>
              <w:spacing w:before="0" w:after="283"/>
              <w:ind w:left="0" w:right="0" w:hanging="0"/>
              <w:jc w:val="left"/>
              <w:rPr/>
            </w:pPr>
            <w:r>
              <w:rPr/>
              <w:t> </w:t>
            </w:r>
          </w:p>
        </w:tc>
        <w:tc>
          <w:tcPr>
            <w:tcW w:w="55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(22</w:t>
            </w:r>
          </w:p>
        </w:tc>
        <w:tc>
          <w:tcPr>
            <w:tcW w:w="24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344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Stock-based compensation</w:t>
            </w:r>
          </w:p>
        </w:tc>
        <w:tc>
          <w:tcPr>
            <w:tcW w:w="60" w:type="dxa"/>
            <w:tcBorders/>
            <w:shd w:fill="FFFFFF" w:val="clear"/>
            <w:vAlign w:val="center"/>
          </w:tcPr>
          <w:p>
            <w:pPr>
              <w:pStyle w:val="TableContents"/>
              <w:bidi w:val="0"/>
              <w:spacing w:before="0" w:after="283"/>
              <w:jc w:val="left"/>
              <w:rPr/>
            </w:pPr>
            <w:r>
              <w:rPr/>
              <w:t> </w:t>
            </w:r>
          </w:p>
        </w:tc>
        <w:tc>
          <w:tcPr>
            <w:tcW w:w="266" w:type="dxa"/>
            <w:tcBorders/>
            <w:shd w:fill="FFFFFF" w:val="clear"/>
            <w:vAlign w:val="center"/>
          </w:tcPr>
          <w:p>
            <w:pPr>
              <w:pStyle w:val="TableContents"/>
              <w:bidi w:val="0"/>
              <w:spacing w:before="0" w:after="283"/>
              <w:ind w:left="0" w:right="0" w:hanging="0"/>
              <w:jc w:val="left"/>
              <w:rPr/>
            </w:pPr>
            <w:r>
              <w:rPr/>
              <w:t> </w:t>
            </w:r>
          </w:p>
        </w:tc>
        <w:tc>
          <w:tcPr>
            <w:tcW w:w="1033"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1,454</w:t>
            </w:r>
          </w:p>
        </w:tc>
        <w:tc>
          <w:tcPr>
            <w:tcW w:w="127" w:type="dxa"/>
            <w:tcBorders/>
            <w:shd w:fill="FFFFFF" w:val="clear"/>
            <w:vAlign w:val="center"/>
          </w:tcPr>
          <w:p>
            <w:pPr>
              <w:pStyle w:val="TableContents"/>
              <w:bidi w:val="0"/>
              <w:spacing w:before="0" w:after="283"/>
              <w:jc w:val="left"/>
              <w:rPr/>
            </w:pPr>
            <w:r>
              <w:rPr/>
              <w:t> </w:t>
            </w:r>
          </w:p>
        </w:tc>
        <w:tc>
          <w:tcPr>
            <w:tcW w:w="127" w:type="dxa"/>
            <w:tcBorders/>
            <w:shd w:fill="FFFFFF" w:val="clear"/>
            <w:vAlign w:val="center"/>
          </w:tcPr>
          <w:p>
            <w:pPr>
              <w:pStyle w:val="TableContents"/>
              <w:bidi w:val="0"/>
              <w:spacing w:before="0" w:after="283"/>
              <w:jc w:val="left"/>
              <w:rPr/>
            </w:pPr>
            <w:r>
              <w:rPr/>
              <w:t> </w:t>
            </w:r>
          </w:p>
        </w:tc>
        <w:tc>
          <w:tcPr>
            <w:tcW w:w="266" w:type="dxa"/>
            <w:tcBorders/>
            <w:shd w:fill="FFFFFF" w:val="clear"/>
            <w:vAlign w:val="center"/>
          </w:tcPr>
          <w:p>
            <w:pPr>
              <w:pStyle w:val="TableContents"/>
              <w:bidi w:val="0"/>
              <w:spacing w:before="0" w:after="283"/>
              <w:ind w:left="0" w:right="0" w:hanging="0"/>
              <w:jc w:val="left"/>
              <w:rPr/>
            </w:pPr>
            <w:r>
              <w:rPr/>
              <w:t> </w:t>
            </w:r>
          </w:p>
        </w:tc>
        <w:tc>
          <w:tcPr>
            <w:tcW w:w="1033"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950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7" w:type="dxa"/>
            <w:tcBorders/>
            <w:shd w:fill="FFFFFF" w:val="clear"/>
            <w:vAlign w:val="center"/>
          </w:tcPr>
          <w:p>
            <w:pPr>
              <w:pStyle w:val="TableContents"/>
              <w:bidi w:val="0"/>
              <w:spacing w:before="0" w:after="283"/>
              <w:ind w:left="0" w:right="0" w:hanging="0"/>
              <w:jc w:val="left"/>
              <w:rPr/>
            </w:pPr>
            <w:r>
              <w:rPr/>
              <w:t> </w:t>
            </w:r>
          </w:p>
        </w:tc>
        <w:tc>
          <w:tcPr>
            <w:tcW w:w="52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504</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4" w:type="dxa"/>
            <w:tcBorders/>
            <w:shd w:fill="FFFFFF" w:val="clear"/>
            <w:vAlign w:val="center"/>
          </w:tcPr>
          <w:p>
            <w:pPr>
              <w:pStyle w:val="TableContents"/>
              <w:bidi w:val="0"/>
              <w:spacing w:before="0" w:after="283"/>
              <w:ind w:left="0" w:right="0" w:hanging="0"/>
              <w:jc w:val="left"/>
              <w:rPr/>
            </w:pPr>
            <w:r>
              <w:rPr/>
              <w:t> </w:t>
            </w:r>
          </w:p>
        </w:tc>
        <w:tc>
          <w:tcPr>
            <w:tcW w:w="551"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53</w:t>
            </w:r>
          </w:p>
        </w:tc>
        <w:tc>
          <w:tcPr>
            <w:tcW w:w="24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344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Professional fees, insurance and other</w:t>
            </w:r>
          </w:p>
        </w:tc>
        <w:tc>
          <w:tcPr>
            <w:tcW w:w="60" w:type="dxa"/>
            <w:tcBorders/>
            <w:shd w:fill="CCEEFF" w:val="clear"/>
            <w:vAlign w:val="center"/>
          </w:tcPr>
          <w:p>
            <w:pPr>
              <w:pStyle w:val="TableContents"/>
              <w:bidi w:val="0"/>
              <w:spacing w:before="0" w:after="283"/>
              <w:jc w:val="left"/>
              <w:rPr/>
            </w:pPr>
            <w:r>
              <w:rPr/>
              <w:t> </w:t>
            </w:r>
          </w:p>
        </w:tc>
        <w:tc>
          <w:tcPr>
            <w:tcW w:w="266" w:type="dxa"/>
            <w:tcBorders/>
            <w:shd w:fill="CCEEFF" w:val="clear"/>
            <w:vAlign w:val="center"/>
          </w:tcPr>
          <w:p>
            <w:pPr>
              <w:pStyle w:val="TableContents"/>
              <w:bidi w:val="0"/>
              <w:spacing w:before="0" w:after="283"/>
              <w:ind w:left="0" w:right="0" w:hanging="0"/>
              <w:jc w:val="left"/>
              <w:rPr/>
            </w:pPr>
            <w:r>
              <w:rPr/>
              <w:t> </w:t>
            </w:r>
          </w:p>
        </w:tc>
        <w:tc>
          <w:tcPr>
            <w:tcW w:w="1033"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3,049</w:t>
            </w:r>
          </w:p>
        </w:tc>
        <w:tc>
          <w:tcPr>
            <w:tcW w:w="127" w:type="dxa"/>
            <w:tcBorders/>
            <w:shd w:fill="CCEEFF" w:val="clear"/>
            <w:vAlign w:val="center"/>
          </w:tcPr>
          <w:p>
            <w:pPr>
              <w:pStyle w:val="TableContents"/>
              <w:bidi w:val="0"/>
              <w:spacing w:before="0" w:after="283"/>
              <w:jc w:val="left"/>
              <w:rPr/>
            </w:pPr>
            <w:r>
              <w:rPr/>
              <w:t> </w:t>
            </w:r>
          </w:p>
        </w:tc>
        <w:tc>
          <w:tcPr>
            <w:tcW w:w="127" w:type="dxa"/>
            <w:tcBorders/>
            <w:shd w:fill="CCEEFF" w:val="clear"/>
            <w:vAlign w:val="center"/>
          </w:tcPr>
          <w:p>
            <w:pPr>
              <w:pStyle w:val="TableContents"/>
              <w:bidi w:val="0"/>
              <w:spacing w:before="0" w:after="283"/>
              <w:jc w:val="left"/>
              <w:rPr/>
            </w:pPr>
            <w:r>
              <w:rPr/>
              <w:t> </w:t>
            </w:r>
          </w:p>
        </w:tc>
        <w:tc>
          <w:tcPr>
            <w:tcW w:w="266" w:type="dxa"/>
            <w:tcBorders/>
            <w:shd w:fill="CCEEFF" w:val="clear"/>
            <w:vAlign w:val="center"/>
          </w:tcPr>
          <w:p>
            <w:pPr>
              <w:pStyle w:val="TableContents"/>
              <w:bidi w:val="0"/>
              <w:spacing w:before="0" w:after="283"/>
              <w:ind w:left="0" w:right="0" w:hanging="0"/>
              <w:jc w:val="left"/>
              <w:rPr/>
            </w:pPr>
            <w:r>
              <w:rPr/>
              <w:t> </w:t>
            </w:r>
          </w:p>
        </w:tc>
        <w:tc>
          <w:tcPr>
            <w:tcW w:w="1033"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2,343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7" w:type="dxa"/>
            <w:tcBorders/>
            <w:shd w:fill="CCEEFF" w:val="clear"/>
            <w:vAlign w:val="center"/>
          </w:tcPr>
          <w:p>
            <w:pPr>
              <w:pStyle w:val="TableContents"/>
              <w:bidi w:val="0"/>
              <w:spacing w:before="0" w:after="283"/>
              <w:ind w:left="0" w:right="0" w:hanging="0"/>
              <w:jc w:val="left"/>
              <w:rPr/>
            </w:pPr>
            <w:r>
              <w:rPr/>
              <w:t> </w:t>
            </w:r>
          </w:p>
        </w:tc>
        <w:tc>
          <w:tcPr>
            <w:tcW w:w="52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706</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4" w:type="dxa"/>
            <w:tcBorders/>
            <w:shd w:fill="CCEEFF" w:val="clear"/>
            <w:vAlign w:val="center"/>
          </w:tcPr>
          <w:p>
            <w:pPr>
              <w:pStyle w:val="TableContents"/>
              <w:bidi w:val="0"/>
              <w:spacing w:before="0" w:after="283"/>
              <w:ind w:left="0" w:right="0" w:hanging="0"/>
              <w:jc w:val="left"/>
              <w:rPr/>
            </w:pPr>
            <w:r>
              <w:rPr/>
              <w:t> </w:t>
            </w:r>
          </w:p>
        </w:tc>
        <w:tc>
          <w:tcPr>
            <w:tcW w:w="55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30</w:t>
            </w:r>
          </w:p>
        </w:tc>
        <w:tc>
          <w:tcPr>
            <w:tcW w:w="24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3440" w:type="dxa"/>
            <w:tcBorders/>
            <w:shd w:fill="FFFF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Acquisition related costs</w:t>
            </w:r>
          </w:p>
        </w:tc>
        <w:tc>
          <w:tcPr>
            <w:tcW w:w="60" w:type="dxa"/>
            <w:tcBorders/>
            <w:shd w:fill="FFFFFF" w:val="clear"/>
            <w:vAlign w:val="center"/>
          </w:tcPr>
          <w:p>
            <w:pPr>
              <w:pStyle w:val="TableContents"/>
              <w:bidi w:val="0"/>
              <w:spacing w:before="0" w:after="283"/>
              <w:ind w:left="0" w:right="0" w:hanging="0"/>
              <w:jc w:val="left"/>
              <w:rPr/>
            </w:pPr>
            <w:r>
              <w:rPr/>
              <w:t> </w:t>
            </w:r>
          </w:p>
        </w:tc>
        <w:tc>
          <w:tcPr>
            <w:tcW w:w="266"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1033" w:type="dxa"/>
            <w:tcBorders>
              <w:bottom w:val="single" w:sz="2" w:space="0" w:color="000000"/>
            </w:tcBorders>
            <w:shd w:fill="FFFFFF" w:val="clear"/>
            <w:tcMar>
              <w:bottom w:w="28" w:type="dxa"/>
            </w:tcMar>
            <w:vAlign w:val="center"/>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5</w:t>
            </w:r>
          </w:p>
        </w:tc>
        <w:tc>
          <w:tcPr>
            <w:tcW w:w="127" w:type="dxa"/>
            <w:tcBorders/>
            <w:shd w:fill="FFFFFF" w:val="clear"/>
            <w:vAlign w:val="center"/>
          </w:tcPr>
          <w:p>
            <w:pPr>
              <w:pStyle w:val="TableContents"/>
              <w:bidi w:val="0"/>
              <w:spacing w:before="0" w:after="283"/>
              <w:jc w:val="left"/>
              <w:rPr/>
            </w:pPr>
            <w:r>
              <w:rPr/>
              <w:t> </w:t>
            </w:r>
          </w:p>
        </w:tc>
        <w:tc>
          <w:tcPr>
            <w:tcW w:w="127" w:type="dxa"/>
            <w:tcBorders/>
            <w:shd w:fill="FFFFFF" w:val="clear"/>
            <w:vAlign w:val="center"/>
          </w:tcPr>
          <w:p>
            <w:pPr>
              <w:pStyle w:val="TableContents"/>
              <w:bidi w:val="0"/>
              <w:spacing w:before="0" w:after="283"/>
              <w:ind w:left="0" w:right="0" w:hanging="0"/>
              <w:jc w:val="left"/>
              <w:rPr/>
            </w:pPr>
            <w:r>
              <w:rPr/>
              <w:t> </w:t>
            </w:r>
          </w:p>
        </w:tc>
        <w:tc>
          <w:tcPr>
            <w:tcW w:w="266"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1033" w:type="dxa"/>
            <w:tcBorders>
              <w:bottom w:val="single" w:sz="2" w:space="0" w:color="000000"/>
            </w:tcBorders>
            <w:shd w:fill="FFFFFF" w:val="clear"/>
            <w:tcMar>
              <w:bottom w:w="28" w:type="dxa"/>
            </w:tcMar>
            <w:vAlign w:val="center"/>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368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67"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528" w:type="dxa"/>
            <w:tcBorders>
              <w:bottom w:val="single" w:sz="2" w:space="0" w:color="000000"/>
            </w:tcBorders>
            <w:shd w:fill="FFFFFF" w:val="clear"/>
            <w:tcMar>
              <w:bottom w:w="28" w:type="dxa"/>
            </w:tcMar>
            <w:vAlign w:val="center"/>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(363</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ind w:left="0" w:right="0" w:hanging="0"/>
              <w:jc w:val="left"/>
              <w:rPr/>
            </w:pPr>
            <w:r>
              <w:rPr/>
              <w:t> </w:t>
            </w:r>
          </w:p>
        </w:tc>
        <w:tc>
          <w:tcPr>
            <w:tcW w:w="114"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551" w:type="dxa"/>
            <w:tcBorders>
              <w:bottom w:val="single" w:sz="2" w:space="0" w:color="000000"/>
            </w:tcBorders>
            <w:shd w:fill="FFFFFF" w:val="clear"/>
            <w:tcMar>
              <w:bottom w:w="28" w:type="dxa"/>
            </w:tcMar>
            <w:vAlign w:val="center"/>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(99</w:t>
            </w:r>
          </w:p>
        </w:tc>
        <w:tc>
          <w:tcPr>
            <w:tcW w:w="24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344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66" w:type="dxa"/>
            <w:tcBorders/>
            <w:shd w:fill="CCEEFF" w:val="clear"/>
            <w:vAlign w:val="center"/>
          </w:tcPr>
          <w:p>
            <w:pPr>
              <w:pStyle w:val="TableContents"/>
              <w:bidi w:val="0"/>
              <w:spacing w:before="0" w:after="283"/>
              <w:jc w:val="left"/>
              <w:rPr/>
            </w:pPr>
            <w:r>
              <w:rPr/>
              <w:t> </w:t>
            </w:r>
          </w:p>
        </w:tc>
        <w:tc>
          <w:tcPr>
            <w:tcW w:w="1033" w:type="dxa"/>
            <w:tcBorders/>
            <w:shd w:fill="CCEEFF" w:val="clear"/>
            <w:vAlign w:val="center"/>
          </w:tcPr>
          <w:p>
            <w:pPr>
              <w:pStyle w:val="TableContents"/>
              <w:bidi w:val="0"/>
              <w:spacing w:before="0" w:after="283"/>
              <w:jc w:val="left"/>
              <w:rPr/>
            </w:pPr>
            <w:r>
              <w:rPr/>
              <w:t> </w:t>
            </w:r>
          </w:p>
        </w:tc>
        <w:tc>
          <w:tcPr>
            <w:tcW w:w="127" w:type="dxa"/>
            <w:tcBorders/>
            <w:shd w:fill="CCEEFF" w:val="clear"/>
            <w:vAlign w:val="center"/>
          </w:tcPr>
          <w:p>
            <w:pPr>
              <w:pStyle w:val="TableContents"/>
              <w:bidi w:val="0"/>
              <w:spacing w:before="0" w:after="283"/>
              <w:jc w:val="left"/>
              <w:rPr/>
            </w:pPr>
            <w:r>
              <w:rPr/>
              <w:t> </w:t>
            </w:r>
          </w:p>
        </w:tc>
        <w:tc>
          <w:tcPr>
            <w:tcW w:w="127" w:type="dxa"/>
            <w:tcBorders/>
            <w:shd w:fill="CCEEFF" w:val="clear"/>
            <w:vAlign w:val="center"/>
          </w:tcPr>
          <w:p>
            <w:pPr>
              <w:pStyle w:val="TableContents"/>
              <w:bidi w:val="0"/>
              <w:spacing w:before="0" w:after="283"/>
              <w:jc w:val="left"/>
              <w:rPr/>
            </w:pPr>
            <w:r>
              <w:rPr/>
              <w:t> </w:t>
            </w:r>
          </w:p>
        </w:tc>
        <w:tc>
          <w:tcPr>
            <w:tcW w:w="266" w:type="dxa"/>
            <w:tcBorders/>
            <w:shd w:fill="CCEEFF" w:val="clear"/>
            <w:vAlign w:val="center"/>
          </w:tcPr>
          <w:p>
            <w:pPr>
              <w:pStyle w:val="TableContents"/>
              <w:bidi w:val="0"/>
              <w:spacing w:before="0" w:after="283"/>
              <w:jc w:val="left"/>
              <w:rPr/>
            </w:pPr>
            <w:r>
              <w:rPr/>
              <w:t> </w:t>
            </w:r>
          </w:p>
        </w:tc>
        <w:tc>
          <w:tcPr>
            <w:tcW w:w="1033"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7" w:type="dxa"/>
            <w:tcBorders/>
            <w:shd w:fill="CCEEFF" w:val="clear"/>
            <w:vAlign w:val="center"/>
          </w:tcPr>
          <w:p>
            <w:pPr>
              <w:pStyle w:val="TableContents"/>
              <w:bidi w:val="0"/>
              <w:spacing w:before="0" w:after="283"/>
              <w:jc w:val="left"/>
              <w:rPr/>
            </w:pPr>
            <w:r>
              <w:rPr/>
              <w:t> </w:t>
            </w:r>
          </w:p>
        </w:tc>
        <w:tc>
          <w:tcPr>
            <w:tcW w:w="528"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4" w:type="dxa"/>
            <w:tcBorders/>
            <w:shd w:fill="CCEEFF" w:val="clear"/>
            <w:vAlign w:val="center"/>
          </w:tcPr>
          <w:p>
            <w:pPr>
              <w:pStyle w:val="TableContents"/>
              <w:bidi w:val="0"/>
              <w:spacing w:before="0" w:after="283"/>
              <w:jc w:val="left"/>
              <w:rPr/>
            </w:pPr>
            <w:r>
              <w:rPr/>
              <w:t> </w:t>
            </w:r>
          </w:p>
        </w:tc>
        <w:tc>
          <w:tcPr>
            <w:tcW w:w="551" w:type="dxa"/>
            <w:tcBorders/>
            <w:shd w:fill="CCEEFF" w:val="clear"/>
            <w:vAlign w:val="center"/>
          </w:tcPr>
          <w:p>
            <w:pPr>
              <w:pStyle w:val="TableContents"/>
              <w:bidi w:val="0"/>
              <w:spacing w:before="0" w:after="283"/>
              <w:jc w:val="left"/>
              <w:rPr/>
            </w:pPr>
            <w:r>
              <w:rPr/>
              <w:t> </w:t>
            </w:r>
          </w:p>
        </w:tc>
        <w:tc>
          <w:tcPr>
            <w:tcW w:w="245" w:type="dxa"/>
            <w:tcBorders/>
            <w:shd w:fill="CCEEFF" w:val="clear"/>
            <w:vAlign w:val="center"/>
          </w:tcPr>
          <w:p>
            <w:pPr>
              <w:pStyle w:val="TableContents"/>
              <w:bidi w:val="0"/>
              <w:spacing w:before="0" w:after="283"/>
              <w:jc w:val="left"/>
              <w:rPr/>
            </w:pPr>
            <w:r>
              <w:rPr/>
              <w:t> </w:t>
            </w:r>
          </w:p>
        </w:tc>
      </w:tr>
      <w:tr>
        <w:trPr/>
        <w:tc>
          <w:tcPr>
            <w:tcW w:w="3440"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general and administrative expenses</w:t>
            </w:r>
          </w:p>
        </w:tc>
        <w:tc>
          <w:tcPr>
            <w:tcW w:w="60" w:type="dxa"/>
            <w:tcBorders/>
            <w:shd w:fill="FFFFFF" w:val="clear"/>
            <w:vAlign w:val="center"/>
          </w:tcPr>
          <w:p>
            <w:pPr>
              <w:pStyle w:val="TableContents"/>
              <w:bidi w:val="0"/>
              <w:spacing w:before="0" w:after="283"/>
              <w:ind w:left="0" w:right="0" w:hanging="0"/>
              <w:jc w:val="left"/>
              <w:rPr/>
            </w:pPr>
            <w:r>
              <w:rPr/>
              <w:t> </w:t>
            </w:r>
          </w:p>
        </w:tc>
        <w:tc>
          <w:tcPr>
            <w:tcW w:w="266"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33"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6,754</w:t>
            </w:r>
          </w:p>
        </w:tc>
        <w:tc>
          <w:tcPr>
            <w:tcW w:w="127" w:type="dxa"/>
            <w:tcBorders/>
            <w:shd w:fill="FFFFFF" w:val="clear"/>
            <w:vAlign w:val="center"/>
          </w:tcPr>
          <w:p>
            <w:pPr>
              <w:pStyle w:val="TableContents"/>
              <w:bidi w:val="0"/>
              <w:spacing w:before="0" w:after="283"/>
              <w:jc w:val="left"/>
              <w:rPr/>
            </w:pPr>
            <w:r>
              <w:rPr/>
              <w:t> </w:t>
            </w:r>
          </w:p>
        </w:tc>
        <w:tc>
          <w:tcPr>
            <w:tcW w:w="127" w:type="dxa"/>
            <w:tcBorders/>
            <w:shd w:fill="FFFFFF" w:val="clear"/>
            <w:vAlign w:val="center"/>
          </w:tcPr>
          <w:p>
            <w:pPr>
              <w:pStyle w:val="TableContents"/>
              <w:bidi w:val="0"/>
              <w:spacing w:before="0" w:after="283"/>
              <w:ind w:left="0" w:right="0" w:hanging="0"/>
              <w:jc w:val="left"/>
              <w:rPr/>
            </w:pPr>
            <w:r>
              <w:rPr/>
              <w:t> </w:t>
            </w:r>
          </w:p>
        </w:tc>
        <w:tc>
          <w:tcPr>
            <w:tcW w:w="266"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33"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6,549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67"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28"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205</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4"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551"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w:t>
            </w:r>
          </w:p>
        </w:tc>
        <w:tc>
          <w:tcPr>
            <w:tcW w:w="24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General and administrative expenses increased by $0.2 million for the nine months ended September 30, 2025 as compared to the prior year period. The increase was primarily attributable to an increase in both professional fees, outsourcing of our accounting function, and stock-based compensation offset by a reduction in acquisition related costs. Stock-based compensation was higher because of the value of the restricted stock awards being amortized for the nine months ended September 30, 2025 than those being amortized during the nine months ended September 30, 2024.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i/>
          <w:caps w:val="false"/>
          <w:smallCaps w:val="false"/>
          <w:sz w:val="20"/>
        </w:rPr>
        <w:t>Other Income (Expense).</w:t>
      </w:r>
      <w:r>
        <w:rPr>
          <w:rFonts w:ascii="Times New Roman" w:hAnsi="Times New Roman"/>
          <w:caps w:val="false"/>
          <w:smallCaps w:val="false"/>
          <w:sz w:val="20"/>
        </w:rPr>
        <w:t xml:space="preserve"> Presented below is a comparison of our other income (expense) for the nine months ended September 30, 2025 and 2024:</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tbl>
      <w:tblPr>
        <w:tblW w:w="7892" w:type="dxa"/>
        <w:jc w:val="left"/>
        <w:tblInd w:w="0" w:type="dxa"/>
        <w:tblLayout w:type="fixed"/>
        <w:tblCellMar>
          <w:top w:w="0" w:type="dxa"/>
          <w:left w:w="0" w:type="dxa"/>
          <w:bottom w:w="0" w:type="dxa"/>
          <w:right w:w="0" w:type="dxa"/>
        </w:tblCellMar>
      </w:tblPr>
      <w:tblGrid>
        <w:gridCol w:w="3095"/>
        <w:gridCol w:w="60"/>
        <w:gridCol w:w="302"/>
        <w:gridCol w:w="955"/>
        <w:gridCol w:w="193"/>
        <w:gridCol w:w="145"/>
        <w:gridCol w:w="302"/>
        <w:gridCol w:w="955"/>
        <w:gridCol w:w="80"/>
        <w:gridCol w:w="60"/>
        <w:gridCol w:w="167"/>
        <w:gridCol w:w="528"/>
        <w:gridCol w:w="80"/>
        <w:gridCol w:w="60"/>
        <w:gridCol w:w="87"/>
        <w:gridCol w:w="578"/>
        <w:gridCol w:w="245"/>
      </w:tblGrid>
      <w:tr>
        <w:trPr/>
        <w:tc>
          <w:tcPr>
            <w:tcW w:w="30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852"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Nine months ended September 30,</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500"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Change</w:t>
            </w:r>
          </w:p>
        </w:tc>
        <w:tc>
          <w:tcPr>
            <w:tcW w:w="245" w:type="dxa"/>
            <w:tcBorders/>
            <w:shd w:fill="FFFFFF" w:val="clear"/>
            <w:vAlign w:val="center"/>
          </w:tcPr>
          <w:p>
            <w:pPr>
              <w:pStyle w:val="TableContents"/>
              <w:bidi w:val="0"/>
              <w:spacing w:before="0" w:after="283"/>
              <w:jc w:val="left"/>
              <w:rPr/>
            </w:pPr>
            <w:r>
              <w:rPr/>
              <w:t> </w:t>
            </w:r>
          </w:p>
        </w:tc>
      </w:tr>
      <w:tr>
        <w:trPr/>
        <w:tc>
          <w:tcPr>
            <w:tcW w:w="30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57"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2025</w:t>
            </w:r>
          </w:p>
        </w:tc>
        <w:tc>
          <w:tcPr>
            <w:tcW w:w="193" w:type="dxa"/>
            <w:tcBorders/>
            <w:shd w:fill="FFFFFF" w:val="clear"/>
            <w:vAlign w:val="center"/>
          </w:tcPr>
          <w:p>
            <w:pPr>
              <w:pStyle w:val="TableContents"/>
              <w:bidi w:val="0"/>
              <w:spacing w:before="0" w:after="283"/>
              <w:jc w:val="left"/>
              <w:rPr/>
            </w:pPr>
            <w:r>
              <w:rPr/>
              <w:t> </w:t>
            </w:r>
          </w:p>
        </w:tc>
        <w:tc>
          <w:tcPr>
            <w:tcW w:w="145" w:type="dxa"/>
            <w:tcBorders/>
            <w:shd w:fill="FFFFFF" w:val="clear"/>
            <w:vAlign w:val="center"/>
          </w:tcPr>
          <w:p>
            <w:pPr>
              <w:pStyle w:val="TableContents"/>
              <w:bidi w:val="0"/>
              <w:spacing w:before="0" w:after="283"/>
              <w:ind w:left="0" w:right="0" w:hanging="0"/>
              <w:jc w:val="left"/>
              <w:rPr/>
            </w:pPr>
            <w:r>
              <w:rPr/>
              <w:t> </w:t>
            </w:r>
          </w:p>
        </w:tc>
        <w:tc>
          <w:tcPr>
            <w:tcW w:w="1257"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2024</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69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Amount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66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Percent</w:t>
            </w:r>
          </w:p>
        </w:tc>
        <w:tc>
          <w:tcPr>
            <w:tcW w:w="245" w:type="dxa"/>
            <w:tcBorders/>
            <w:shd w:fill="FFFFFF" w:val="clear"/>
            <w:vAlign w:val="center"/>
          </w:tcPr>
          <w:p>
            <w:pPr>
              <w:pStyle w:val="TableContents"/>
              <w:bidi w:val="0"/>
              <w:spacing w:before="0" w:after="283"/>
              <w:jc w:val="left"/>
              <w:rPr/>
            </w:pPr>
            <w:r>
              <w:rPr/>
              <w:t> </w:t>
            </w:r>
          </w:p>
        </w:tc>
      </w:tr>
      <w:tr>
        <w:trPr/>
        <w:tc>
          <w:tcPr>
            <w:tcW w:w="30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4492" w:type="dxa"/>
            <w:gridSpan w:val="14"/>
            <w:tcBorders/>
            <w:shd w:fill="FFFFFF" w:val="cle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(in thousands)</w:t>
            </w:r>
          </w:p>
        </w:tc>
        <w:tc>
          <w:tcPr>
            <w:tcW w:w="245" w:type="dxa"/>
            <w:tcBorders/>
            <w:shd w:fill="FFFFFF" w:val="clear"/>
            <w:vAlign w:val="center"/>
          </w:tcPr>
          <w:p>
            <w:pPr>
              <w:pStyle w:val="TableContents"/>
              <w:bidi w:val="0"/>
              <w:spacing w:before="0" w:after="283"/>
              <w:jc w:val="left"/>
              <w:rPr/>
            </w:pPr>
            <w:r>
              <w:rPr/>
              <w:t> </w:t>
            </w:r>
          </w:p>
        </w:tc>
      </w:tr>
      <w:tr>
        <w:trPr/>
        <w:tc>
          <w:tcPr>
            <w:tcW w:w="309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Commodity derivative gain (loss), net</w:t>
            </w:r>
          </w:p>
        </w:tc>
        <w:tc>
          <w:tcPr>
            <w:tcW w:w="60" w:type="dxa"/>
            <w:tcBorders/>
            <w:shd w:fill="CCEEFF" w:val="clear"/>
            <w:vAlign w:val="center"/>
          </w:tcPr>
          <w:p>
            <w:pPr>
              <w:pStyle w:val="TableContents"/>
              <w:bidi w:val="0"/>
              <w:spacing w:before="0" w:after="283"/>
              <w:ind w:left="0" w:right="0" w:hanging="0"/>
              <w:jc w:val="left"/>
              <w:rPr/>
            </w:pPr>
            <w:r>
              <w:rPr/>
              <w:t> </w:t>
            </w:r>
          </w:p>
        </w:tc>
        <w:tc>
          <w:tcPr>
            <w:tcW w:w="302"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5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193"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ind w:left="0" w:right="0" w:hanging="0"/>
              <w:jc w:val="left"/>
              <w:rPr/>
            </w:pPr>
            <w:r>
              <w:rPr/>
              <w:t> </w:t>
            </w:r>
          </w:p>
        </w:tc>
        <w:tc>
          <w:tcPr>
            <w:tcW w:w="302"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5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537</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67"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2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(537</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87" w:type="dxa"/>
            <w:tcBorders/>
            <w:shd w:fill="CCEEFF" w:val="clear"/>
            <w:vAlign w:val="center"/>
          </w:tcPr>
          <w:p>
            <w:pPr>
              <w:pStyle w:val="TableContents"/>
              <w:bidi w:val="0"/>
              <w:spacing w:before="0" w:after="283"/>
              <w:ind w:left="0" w:right="0" w:hanging="0"/>
              <w:jc w:val="left"/>
              <w:rPr/>
            </w:pPr>
            <w:r>
              <w:rPr/>
              <w:t> </w:t>
            </w:r>
          </w:p>
        </w:tc>
        <w:tc>
          <w:tcPr>
            <w:tcW w:w="57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(100</w:t>
            </w:r>
          </w:p>
        </w:tc>
        <w:tc>
          <w:tcPr>
            <w:tcW w:w="24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309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Interest expense, net</w:t>
            </w:r>
          </w:p>
        </w:tc>
        <w:tc>
          <w:tcPr>
            <w:tcW w:w="60" w:type="dxa"/>
            <w:tcBorders/>
            <w:shd w:fill="FFFFFF" w:val="clear"/>
            <w:vAlign w:val="center"/>
          </w:tcPr>
          <w:p>
            <w:pPr>
              <w:pStyle w:val="TableContents"/>
              <w:bidi w:val="0"/>
              <w:spacing w:before="0" w:after="283"/>
              <w:jc w:val="left"/>
              <w:rPr/>
            </w:pPr>
            <w:r>
              <w:rPr/>
              <w:t> </w:t>
            </w:r>
          </w:p>
        </w:tc>
        <w:tc>
          <w:tcPr>
            <w:tcW w:w="302" w:type="dxa"/>
            <w:tcBorders/>
            <w:shd w:fill="FFFFFF" w:val="clear"/>
            <w:vAlign w:val="center"/>
          </w:tcPr>
          <w:p>
            <w:pPr>
              <w:pStyle w:val="TableContents"/>
              <w:bidi w:val="0"/>
              <w:spacing w:before="0" w:after="283"/>
              <w:ind w:left="0" w:right="0" w:hanging="0"/>
              <w:jc w:val="left"/>
              <w:rPr/>
            </w:pPr>
            <w:r>
              <w:rPr/>
              <w:t> </w:t>
            </w:r>
          </w:p>
        </w:tc>
        <w:tc>
          <w:tcPr>
            <w:tcW w:w="95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(167</w:t>
            </w:r>
          </w:p>
        </w:tc>
        <w:tc>
          <w:tcPr>
            <w:tcW w:w="193"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45" w:type="dxa"/>
            <w:tcBorders/>
            <w:shd w:fill="FFFFFF" w:val="clear"/>
            <w:vAlign w:val="center"/>
          </w:tcPr>
          <w:p>
            <w:pPr>
              <w:pStyle w:val="TableContents"/>
              <w:bidi w:val="0"/>
              <w:spacing w:before="0" w:after="283"/>
              <w:jc w:val="left"/>
              <w:rPr/>
            </w:pPr>
            <w:r>
              <w:rPr/>
              <w:t> </w:t>
            </w:r>
          </w:p>
        </w:tc>
        <w:tc>
          <w:tcPr>
            <w:tcW w:w="302" w:type="dxa"/>
            <w:tcBorders/>
            <w:shd w:fill="FFFFFF" w:val="clear"/>
            <w:vAlign w:val="center"/>
          </w:tcPr>
          <w:p>
            <w:pPr>
              <w:pStyle w:val="TableContents"/>
              <w:bidi w:val="0"/>
              <w:spacing w:before="0" w:after="283"/>
              <w:ind w:left="0" w:right="0" w:hanging="0"/>
              <w:jc w:val="left"/>
              <w:rPr/>
            </w:pPr>
            <w:r>
              <w:rPr/>
              <w:t> </w:t>
            </w:r>
          </w:p>
        </w:tc>
        <w:tc>
          <w:tcPr>
            <w:tcW w:w="95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(344</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67" w:type="dxa"/>
            <w:tcBorders/>
            <w:shd w:fill="FFFFFF" w:val="clear"/>
            <w:vAlign w:val="center"/>
          </w:tcPr>
          <w:p>
            <w:pPr>
              <w:pStyle w:val="TableContents"/>
              <w:bidi w:val="0"/>
              <w:spacing w:before="0" w:after="283"/>
              <w:ind w:left="0" w:right="0" w:hanging="0"/>
              <w:jc w:val="left"/>
              <w:rPr/>
            </w:pPr>
            <w:r>
              <w:rPr/>
              <w:t> </w:t>
            </w:r>
          </w:p>
        </w:tc>
        <w:tc>
          <w:tcPr>
            <w:tcW w:w="52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177</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7" w:type="dxa"/>
            <w:tcBorders/>
            <w:shd w:fill="FFFFFF" w:val="clear"/>
            <w:vAlign w:val="center"/>
          </w:tcPr>
          <w:p>
            <w:pPr>
              <w:pStyle w:val="TableContents"/>
              <w:bidi w:val="0"/>
              <w:spacing w:before="0" w:after="283"/>
              <w:ind w:left="0" w:right="0" w:hanging="0"/>
              <w:jc w:val="left"/>
              <w:rPr/>
            </w:pPr>
            <w:r>
              <w:rPr/>
              <w:t> </w:t>
            </w:r>
          </w:p>
        </w:tc>
        <w:tc>
          <w:tcPr>
            <w:tcW w:w="57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51</w:t>
            </w:r>
          </w:p>
        </w:tc>
        <w:tc>
          <w:tcPr>
            <w:tcW w:w="24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309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Other income (expense), net</w:t>
            </w:r>
          </w:p>
        </w:tc>
        <w:tc>
          <w:tcPr>
            <w:tcW w:w="60" w:type="dxa"/>
            <w:tcBorders/>
            <w:shd w:fill="CCEEFF" w:val="clear"/>
            <w:vAlign w:val="center"/>
          </w:tcPr>
          <w:p>
            <w:pPr>
              <w:pStyle w:val="TableContents"/>
              <w:bidi w:val="0"/>
              <w:spacing w:before="0" w:after="283"/>
              <w:jc w:val="left"/>
              <w:rPr/>
            </w:pPr>
            <w:r>
              <w:rPr/>
              <w:t> </w:t>
            </w:r>
          </w:p>
        </w:tc>
        <w:tc>
          <w:tcPr>
            <w:tcW w:w="302"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5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362</w:t>
            </w:r>
          </w:p>
        </w:tc>
        <w:tc>
          <w:tcPr>
            <w:tcW w:w="193"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jc w:val="left"/>
              <w:rPr/>
            </w:pPr>
            <w:r>
              <w:rPr/>
              <w:t> </w:t>
            </w:r>
          </w:p>
        </w:tc>
        <w:tc>
          <w:tcPr>
            <w:tcW w:w="302"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5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(67</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67"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528"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429</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578"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640</w:t>
            </w:r>
          </w:p>
        </w:tc>
        <w:tc>
          <w:tcPr>
            <w:tcW w:w="24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30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02" w:type="dxa"/>
            <w:tcBorders/>
            <w:shd w:fill="FFFFFF" w:val="clear"/>
            <w:vAlign w:val="center"/>
          </w:tcPr>
          <w:p>
            <w:pPr>
              <w:pStyle w:val="TableContents"/>
              <w:bidi w:val="0"/>
              <w:spacing w:before="0" w:after="283"/>
              <w:jc w:val="left"/>
              <w:rPr/>
            </w:pPr>
            <w:r>
              <w:rPr/>
              <w:t> </w:t>
            </w:r>
          </w:p>
        </w:tc>
        <w:tc>
          <w:tcPr>
            <w:tcW w:w="955" w:type="dxa"/>
            <w:tcBorders/>
            <w:shd w:fill="FFFFFF" w:val="clear"/>
            <w:vAlign w:val="center"/>
          </w:tcPr>
          <w:p>
            <w:pPr>
              <w:pStyle w:val="TableContents"/>
              <w:bidi w:val="0"/>
              <w:spacing w:before="0" w:after="283"/>
              <w:jc w:val="left"/>
              <w:rPr/>
            </w:pPr>
            <w:r>
              <w:rPr/>
              <w:t> </w:t>
            </w:r>
          </w:p>
        </w:tc>
        <w:tc>
          <w:tcPr>
            <w:tcW w:w="193" w:type="dxa"/>
            <w:tcBorders/>
            <w:shd w:fill="FFFFFF" w:val="clear"/>
            <w:vAlign w:val="center"/>
          </w:tcPr>
          <w:p>
            <w:pPr>
              <w:pStyle w:val="TableContents"/>
              <w:bidi w:val="0"/>
              <w:spacing w:before="0" w:after="283"/>
              <w:jc w:val="left"/>
              <w:rPr/>
            </w:pPr>
            <w:r>
              <w:rPr/>
              <w:t> </w:t>
            </w:r>
          </w:p>
        </w:tc>
        <w:tc>
          <w:tcPr>
            <w:tcW w:w="145" w:type="dxa"/>
            <w:tcBorders/>
            <w:shd w:fill="FFFFFF" w:val="clear"/>
            <w:vAlign w:val="center"/>
          </w:tcPr>
          <w:p>
            <w:pPr>
              <w:pStyle w:val="TableContents"/>
              <w:bidi w:val="0"/>
              <w:spacing w:before="0" w:after="283"/>
              <w:jc w:val="left"/>
              <w:rPr/>
            </w:pPr>
            <w:r>
              <w:rPr/>
              <w:t> </w:t>
            </w:r>
          </w:p>
        </w:tc>
        <w:tc>
          <w:tcPr>
            <w:tcW w:w="302" w:type="dxa"/>
            <w:tcBorders/>
            <w:shd w:fill="FFFFFF" w:val="clear"/>
            <w:vAlign w:val="center"/>
          </w:tcPr>
          <w:p>
            <w:pPr>
              <w:pStyle w:val="TableContents"/>
              <w:bidi w:val="0"/>
              <w:spacing w:before="0" w:after="283"/>
              <w:jc w:val="left"/>
              <w:rPr/>
            </w:pPr>
            <w:r>
              <w:rPr/>
              <w:t> </w:t>
            </w:r>
          </w:p>
        </w:tc>
        <w:tc>
          <w:tcPr>
            <w:tcW w:w="955"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7" w:type="dxa"/>
            <w:tcBorders/>
            <w:shd w:fill="FFFFFF" w:val="clear"/>
            <w:vAlign w:val="center"/>
          </w:tcPr>
          <w:p>
            <w:pPr>
              <w:pStyle w:val="TableContents"/>
              <w:bidi w:val="0"/>
              <w:spacing w:before="0" w:after="283"/>
              <w:jc w:val="left"/>
              <w:rPr/>
            </w:pPr>
            <w:r>
              <w:rPr/>
              <w:t> </w:t>
            </w:r>
          </w:p>
        </w:tc>
        <w:tc>
          <w:tcPr>
            <w:tcW w:w="528"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7" w:type="dxa"/>
            <w:tcBorders/>
            <w:shd w:fill="FFFFFF" w:val="clear"/>
            <w:vAlign w:val="center"/>
          </w:tcPr>
          <w:p>
            <w:pPr>
              <w:pStyle w:val="TableContents"/>
              <w:bidi w:val="0"/>
              <w:spacing w:before="0" w:after="283"/>
              <w:jc w:val="left"/>
              <w:rPr/>
            </w:pPr>
            <w:r>
              <w:rPr/>
              <w:t> </w:t>
            </w:r>
          </w:p>
        </w:tc>
        <w:tc>
          <w:tcPr>
            <w:tcW w:w="578" w:type="dxa"/>
            <w:tcBorders/>
            <w:shd w:fill="FFFFFF" w:val="clear"/>
            <w:vAlign w:val="center"/>
          </w:tcPr>
          <w:p>
            <w:pPr>
              <w:pStyle w:val="TableContents"/>
              <w:bidi w:val="0"/>
              <w:spacing w:before="0" w:after="283"/>
              <w:jc w:val="left"/>
              <w:rPr/>
            </w:pPr>
            <w:r>
              <w:rPr/>
              <w:t> </w:t>
            </w:r>
          </w:p>
        </w:tc>
        <w:tc>
          <w:tcPr>
            <w:tcW w:w="245" w:type="dxa"/>
            <w:tcBorders/>
            <w:shd w:fill="FFFFFF" w:val="clear"/>
            <w:vAlign w:val="center"/>
          </w:tcPr>
          <w:p>
            <w:pPr>
              <w:pStyle w:val="TableContents"/>
              <w:bidi w:val="0"/>
              <w:spacing w:before="0" w:after="283"/>
              <w:jc w:val="left"/>
              <w:rPr/>
            </w:pPr>
            <w:r>
              <w:rPr/>
              <w:t> </w:t>
            </w:r>
          </w:p>
        </w:tc>
      </w:tr>
      <w:tr>
        <w:trPr/>
        <w:tc>
          <w:tcPr>
            <w:tcW w:w="3095"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other income (expense)</w:t>
            </w:r>
          </w:p>
        </w:tc>
        <w:tc>
          <w:tcPr>
            <w:tcW w:w="60" w:type="dxa"/>
            <w:tcBorders/>
            <w:shd w:fill="CCEEFF" w:val="clear"/>
            <w:vAlign w:val="center"/>
          </w:tcPr>
          <w:p>
            <w:pPr>
              <w:pStyle w:val="TableContents"/>
              <w:bidi w:val="0"/>
              <w:spacing w:before="0" w:after="283"/>
              <w:ind w:left="0" w:right="0" w:hanging="0"/>
              <w:jc w:val="left"/>
              <w:rPr/>
            </w:pPr>
            <w:r>
              <w:rPr/>
              <w:t> </w:t>
            </w:r>
          </w:p>
        </w:tc>
        <w:tc>
          <w:tcPr>
            <w:tcW w:w="302"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5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195</w:t>
            </w:r>
          </w:p>
        </w:tc>
        <w:tc>
          <w:tcPr>
            <w:tcW w:w="193"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ind w:left="0" w:right="0" w:hanging="0"/>
              <w:jc w:val="left"/>
              <w:rPr/>
            </w:pPr>
            <w:r>
              <w:rPr/>
              <w:t> </w:t>
            </w:r>
          </w:p>
        </w:tc>
        <w:tc>
          <w:tcPr>
            <w:tcW w:w="302"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5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126</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67"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28"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69</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578"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(55</w:t>
            </w:r>
          </w:p>
        </w:tc>
        <w:tc>
          <w:tcPr>
            <w:tcW w:w="24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For the nine months ended September 30, 2025, we did not have any open commodity derivative positions. For the nine months ended September 30, 2024, we recognized gains on commodity derivative contracts of $0.5 million, primarily as the result of the settlement in September 2024 of all our remaining commodity derivative contracts for $1.8 million.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Interest expense primarily represents the interest and fees on our credit facility with FirstBank Southwest. As of December 31, 2024 and September 30, 2025, we had no amounts outstanding on our credit facility. For the nine months ended September 30, 2025, while there was no balance outstanding on the credit facility, we did incur fees to maintain our credit facility and expensed fees associated with our third quarter credit facility Amendment, discussed above. Other income (expense), net primarily represents interest income on the Company's cash balance and changes in the fair value of our marketable equity securities.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During the first half of 2025, we entered into a negotiated post-closing cash settlement and recognized an additional loss of $424 thousand on our $6.825 million divestment in Henderson, Anderson, Liberty and Chambers County, Texas that closed on December 31, 2024.  The Company also closed on the sale of a portion of our operated Wyoming properties for approximately $500 thousand during this time.  Proceeds from the Wyoming divestiture were recorded as an adjustment to the full cost pool with no gain or loss recognized in the Statements of Operations.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283"/>
        <w:jc w:val="left"/>
        <w:rPr/>
      </w:pPr>
      <w:r>
        <w:rPr/>
        <w:t xml:space="preserve">  </w:t>
      </w:r>
    </w:p>
    <w:p>
      <w:pPr>
        <w:pStyle w:val="TextBody"/>
        <w:bidi w:val="0"/>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Liquidity and Capital Resources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Based on the current commodity price environment and our current working capital, we believe we have sufficient liquidity and capital resources to execute our business plan while continuing to meet our current financial obligations. We continue to manage our commitments in order to maintain flexibility with regard to our activity level and capital expenditures.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As of September 30, 2025, the Company was in compliance with all financial covenants related to the credit facility.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For the remainder of 2025, we anticipate our industrial gas development cost to be less than $1.0 million, representing funds required to complete our recently drilled industrial gas wells, and onsite and preliminary design for our anticipated industrial gas processing plant and related infrastructure. The timing of initial plant construction expenditures is being impacted by the U.S. federal government shutdown, which impacts our ability to access capital markets. The extent of capital deployment over the next 12 months will depend largely on the timing of the construction of our industrial gas processing plant. In addition, depending on timing, regulatory requirements and weather, we may incur costs for plugging and abandonment of oil and natural gas wells of up to $300 thousand. We view much of these capital activities as discretionary for which we can control both the timing and amount of the expenditures. Other activities, such as some repairs and maintenance may be required from time to time by regulatory bodies. We anticipate our expenditures will be funded primarily by cash on hand, operating cash flows, proceeds from divestitures of oil and natural gas properties, borrowings under our credit facility, sales of equity under our purchase agreement with Roth Principal, and project specific financing including equity and credit markets.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i/>
          <w:caps w:val="false"/>
          <w:smallCaps w:val="false"/>
          <w:sz w:val="20"/>
        </w:rPr>
      </w:pPr>
      <w:r>
        <w:rPr>
          <w:rFonts w:ascii="Times New Roman" w:hAnsi="Times New Roman"/>
          <w:i/>
          <w:caps w:val="false"/>
          <w:smallCaps w:val="false"/>
          <w:sz w:val="20"/>
        </w:rPr>
        <w:t>Sources of Cash</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 xml:space="preserve">For the nine months ended September 30, 2025, we funded our capital expenditures with cash on hand and proceeds from our January 2025 equity offering. In January 2025, we raised $11.9 million ($10.3 million after the repurchase of certain shares of common stock held by affiliates of Sage Road Capital, which entities are related parties (see also </w:t>
      </w:r>
      <w:r>
        <w:rPr>
          <w:rFonts w:ascii="Times New Roman" w:hAnsi="Times New Roman"/>
          <w:i/>
          <w:caps w:val="false"/>
          <w:smallCaps w:val="false"/>
          <w:sz w:val="20"/>
        </w:rPr>
        <w:t>Material Developments-Related Party Share Repurchase</w:t>
      </w:r>
      <w:r>
        <w:rPr>
          <w:rFonts w:ascii="Times New Roman" w:hAnsi="Times New Roman"/>
          <w:caps w:val="false"/>
          <w:smallCaps w:val="false"/>
          <w:sz w:val="20"/>
        </w:rPr>
        <w:t>, above, and related issuance costs)) in an underwritten offering of 4,871,400 shares of our common stock. In future quarters, if cash flows are not sufficient to fund our capital expenditures and operations, we may raise funds through additional equity offerings (public and/or private), including sales of equity under our purchase agreement with Roth Principal, or from other sources of financing. We also may re-evaluate our capital spend program as economic conditions warrant. Additionally, we may enter into carrying cost and sharing arrangements with third parties for certain development programs. All of our sources of liquidity can be affected by the changes in economic conditions, rising interest rates, changes in debt and equity markets, force majeure events, fluctuations in commodity prices, operating costs, tax law changes, and volumes produced, all of which would affect us and our industry.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26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 w:hAnsi="Times New Roman"/>
          <w:i/>
          <w:caps w:val="false"/>
          <w:smallCaps w:val="false"/>
          <w:sz w:val="20"/>
        </w:rPr>
      </w:pPr>
      <w:r>
        <w:rPr>
          <w:rFonts w:ascii="Times New Roman" w:hAnsi="Times New Roman"/>
          <w:i/>
          <w:caps w:val="false"/>
          <w:smallCaps w:val="false"/>
          <w:sz w:val="20"/>
        </w:rPr>
        <w:t>Credit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On January 5, 2022, we entered into a four-year credit agreement with FirstBank Southwest as administrative agent, which provides for a revolving line of credit with a borrowing base of $10 million, and a maximum credit amount of $100 million (the “Credit Agreement”). Under the Credit Agreement, revolving loans may be borrowed, repaid and re-borrowed until January 5, 2026, when all outstanding amounts must be repaid. The Credit Agreement contains customary indemnification requirements, representations and warranties and customary affirmative and negative covenants applicable to the Company and its subsidiaries. In addition, the Credit Agreement contains financial covenants, tested quarterly, that limit our ratio of total debt to EBITDAX (as defined in the Credit Agreement) to 3:1 and require our ratio of consolidated current assets to consolidated current liabilities (as each is described in the Credit Agreement) to remain at 1:1 or higher.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On September 16, 2025, effective August 1, 2025, the Company entered into a First Amendment to Credit Agreement and Limited Waiver with FirstBank. Significant revisions made to the Credit Amendment as a result of the Amendment include extending the maturity date of amounts owed from January 5, 2026 to May 31, 2029, lowering the borrowing base from $20.0 million to $10.0 million and deferring the next test period for the ratio of total debt to EBITDAX to March 31, 2026. The Company expensed $53 thousand of remaining capitalized deferred financing costs associated with the Credit Agreement during the third quarter of 2025 and capitalized $60 thousand of deferred financing costs attributable to the Amendment.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borrowing base is subject to redetermination semi-annually, commencing on or about April 1 and October 1 of each year during the four-year term of the Credit Agreement. Our borrowing base can be adjusted as a result of changes in commodity prices, acquisitions or divestitures of proved properties, or financing activities, all as provided for in the Credit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i/>
          <w:caps w:val="false"/>
          <w:smallCaps w:val="false"/>
          <w:sz w:val="20"/>
        </w:rPr>
      </w:pPr>
      <w:r>
        <w:rPr>
          <w:rFonts w:ascii="Times New Roman" w:hAnsi="Times New Roman"/>
          <w:i/>
          <w:caps w:val="false"/>
          <w:smallCaps w:val="false"/>
          <w:sz w:val="20"/>
        </w:rPr>
        <w:t>Committed Equity Facility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On October 9, 2025, the Company entered into a Common Stock Purchase Agreement and related Registration Rights Agreement with Roth Principal Investments, LLC, providing a discretionary equity facility of up to $25.0 million. Following SEC effectiveness of a resale registration statement (which the Company does not anticipate being declared effective until the current government shutdown ends), the Company may, at its option over 24 months from the date the resale registration is declared effective and certain other conditions are met, sell shares of common stock to Roth Principal at a price based on the Nasdaq volume weighted average prices during a specific pricing period, less a 2.5% discount, subject to pricing and ownership limits. The facility is capped at 19.99% of outstanding shares of the Company’s common stock as of the date of the Company’s entry into the Common Stock Purchase Agreement, absent shareholder approval or satisfaction of the Nasdaq pricing exemption and includes a 4.99% beneficial-ownership blocker. As consideration, the Company paid a $25 thousand structuring fee, issued 223,141 shares of common stock as a partial commitment fee (valued at $270,000)(the “Stock Commitment Fee”), agreed to a $180 thousand cash commitment fee, and to reimburse legal fees. Proceeds, if any, are expected to be used for working capital and general corporate purposes. Under the Purchase Agreement, the Company may be required to make a cash “make-whole” payment of up to $270,000 (the value of the Stock Commitment Fee”) if, under certain conditions, Roth Principal receives less than $270,000 in total cash proceeds from the resale of such shares before certain specified dates. In such a case, Roth Principal would return to the Company for cancellation any unsold commitment shares.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Cash flows provided by our operating activities, proceeds received from divestitures of properties, capital markets activities, and our capital expenditures, including acquisitions, all impact the amount we borrow under our revolving Credit Agreement. There were no amounts outstanding on the Credit Agreement as of September 30, 2025.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i/>
          <w:caps w:val="false"/>
          <w:smallCaps w:val="false"/>
          <w:sz w:val="20"/>
        </w:rPr>
      </w:pPr>
      <w:r>
        <w:rPr>
          <w:rFonts w:ascii="Times New Roman" w:hAnsi="Times New Roman"/>
          <w:i/>
          <w:caps w:val="false"/>
          <w:smallCaps w:val="false"/>
          <w:sz w:val="20"/>
        </w:rPr>
        <w:t>Uses of Cash</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shd w:fill="FFFFFF" w:val="clear"/>
        </w:rPr>
        <w:t xml:space="preserve">We use cash for the acquisition and development of industrial gas and oil and gas properties, workovers and capital expenditures, operating and general and administrative costs, settlements of commodity derivative contracts, debt obligations including interest, and share repurchases.  During the </w:t>
      </w:r>
      <w:r>
        <w:rPr>
          <w:rFonts w:ascii="Times New Roman" w:hAnsi="Times New Roman"/>
          <w:caps w:val="false"/>
          <w:smallCaps w:val="false"/>
          <w:sz w:val="20"/>
        </w:rPr>
        <w:t>nine months ended September 30, 2025</w:t>
      </w:r>
      <w:r>
        <w:rPr>
          <w:rFonts w:ascii="Times New Roman" w:hAnsi="Times New Roman"/>
          <w:caps w:val="false"/>
          <w:smallCaps w:val="false"/>
          <w:sz w:val="20"/>
          <w:shd w:fill="FFFFFF" w:val="clear"/>
        </w:rPr>
        <w:t>, we spent approximately </w:t>
      </w:r>
      <w:r>
        <w:rPr>
          <w:rFonts w:ascii="Times New Roman" w:hAnsi="Times New Roman"/>
          <w:caps w:val="false"/>
          <w:smallCaps w:val="false"/>
          <w:sz w:val="20"/>
        </w:rPr>
        <w:t>$9.8 million</w:t>
      </w:r>
      <w:r>
        <w:rPr>
          <w:rFonts w:ascii="Times New Roman" w:hAnsi="Times New Roman"/>
          <w:caps w:val="false"/>
          <w:smallCaps w:val="false"/>
          <w:sz w:val="20"/>
          <w:shd w:fill="FFFFFF" w:val="clear"/>
        </w:rPr>
        <w:t xml:space="preserve"> on the acquisition and development of industrial gas properties and capital expenditures.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amount of our future capital expenditures will depend upon a number of factors, including our cash flows from operating, investing, and financing activities, the ongoing government shutdown, our ability to execute our development program, the number and size of acquisitions that we complete and the timing of initial plant construction expenditures. In addition, the impact of industrial gas and oil and natural gas prices on investment opportunities, the availability of capital, tax law changes, and the timing and results of our development activities may lead to changes in funding requirements for future development. We periodically review our capital expenditure budget to assess if changes are necessary based on current and projected cash flows, acquisition and divestiture activities, and other factors. We will continue to monitor the economic environment through the remainder of the year and adjust our activity level as warranted.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Cash Flows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following table summarizes our cash flows for the nine months ended September 30, 2025 and 2024:</w:t>
      </w:r>
    </w:p>
    <w:p>
      <w:pPr>
        <w:pStyle w:val="TextBody"/>
        <w:bidi w:val="0"/>
        <w:spacing w:before="0" w:after="0"/>
        <w:ind w:left="0" w:right="0" w:hanging="0"/>
        <w:jc w:val="left"/>
        <w:rPr>
          <w:caps w:val="false"/>
          <w:smallCaps w:val="false"/>
        </w:rPr>
      </w:pPr>
      <w:r>
        <w:rPr>
          <w:caps w:val="false"/>
          <w:smallCaps w:val="false"/>
        </w:rPr>
        <w:t> </w:t>
      </w:r>
    </w:p>
    <w:tbl>
      <w:tblPr>
        <w:tblW w:w="6463" w:type="dxa"/>
        <w:jc w:val="left"/>
        <w:tblInd w:w="0" w:type="dxa"/>
        <w:tblLayout w:type="fixed"/>
        <w:tblCellMar>
          <w:top w:w="0" w:type="dxa"/>
          <w:left w:w="0" w:type="dxa"/>
          <w:bottom w:w="0" w:type="dxa"/>
          <w:right w:w="0" w:type="dxa"/>
        </w:tblCellMar>
      </w:tblPr>
      <w:tblGrid>
        <w:gridCol w:w="2555"/>
        <w:gridCol w:w="60"/>
        <w:gridCol w:w="241"/>
        <w:gridCol w:w="1051"/>
        <w:gridCol w:w="154"/>
        <w:gridCol w:w="115"/>
        <w:gridCol w:w="241"/>
        <w:gridCol w:w="1051"/>
        <w:gridCol w:w="80"/>
        <w:gridCol w:w="60"/>
        <w:gridCol w:w="125"/>
        <w:gridCol w:w="650"/>
        <w:gridCol w:w="80"/>
      </w:tblGrid>
      <w:tr>
        <w:trPr/>
        <w:tc>
          <w:tcPr>
            <w:tcW w:w="255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853"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Nine months ended September 30,</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50" w:type="dxa"/>
            <w:tcBorders/>
            <w:shd w:fill="FFFFFF" w:val="clear"/>
            <w:vAlign w:val="center"/>
          </w:tcPr>
          <w:p>
            <w:pPr>
              <w:pStyle w:val="TableContents"/>
              <w:bidi w:val="0"/>
              <w:spacing w:before="0" w:after="283"/>
              <w:jc w:val="center"/>
              <w:rPr/>
            </w:pPr>
            <w:r>
              <w:rPr/>
              <w:t> </w:t>
            </w:r>
          </w:p>
        </w:tc>
        <w:tc>
          <w:tcPr>
            <w:tcW w:w="80" w:type="dxa"/>
            <w:tcBorders/>
            <w:shd w:fill="FFFFFF" w:val="clear"/>
            <w:vAlign w:val="center"/>
          </w:tcPr>
          <w:p>
            <w:pPr>
              <w:pStyle w:val="TableContents"/>
              <w:bidi w:val="0"/>
              <w:spacing w:before="0" w:after="283"/>
              <w:jc w:val="left"/>
              <w:rPr/>
            </w:pPr>
            <w:r>
              <w:rPr/>
              <w:t> </w:t>
            </w:r>
          </w:p>
        </w:tc>
      </w:tr>
      <w:tr>
        <w:trPr/>
        <w:tc>
          <w:tcPr>
            <w:tcW w:w="255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92"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2025</w:t>
            </w:r>
          </w:p>
        </w:tc>
        <w:tc>
          <w:tcPr>
            <w:tcW w:w="154" w:type="dxa"/>
            <w:tcBorders/>
            <w:shd w:fill="FFFFFF" w:val="clear"/>
            <w:vAlign w:val="center"/>
          </w:tcPr>
          <w:p>
            <w:pPr>
              <w:pStyle w:val="TableContents"/>
              <w:bidi w:val="0"/>
              <w:spacing w:before="0" w:after="283"/>
              <w:jc w:val="left"/>
              <w:rPr/>
            </w:pPr>
            <w:r>
              <w:rPr/>
              <w:t> </w:t>
            </w:r>
          </w:p>
        </w:tc>
        <w:tc>
          <w:tcPr>
            <w:tcW w:w="115" w:type="dxa"/>
            <w:tcBorders/>
            <w:shd w:fill="FFFFFF" w:val="clear"/>
            <w:vAlign w:val="center"/>
          </w:tcPr>
          <w:p>
            <w:pPr>
              <w:pStyle w:val="TableContents"/>
              <w:bidi w:val="0"/>
              <w:spacing w:before="0" w:after="283"/>
              <w:ind w:left="0" w:right="0" w:hanging="0"/>
              <w:jc w:val="left"/>
              <w:rPr/>
            </w:pPr>
            <w:r>
              <w:rPr/>
              <w:t> </w:t>
            </w:r>
          </w:p>
        </w:tc>
        <w:tc>
          <w:tcPr>
            <w:tcW w:w="1292"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2024</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77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Change</w:t>
            </w:r>
          </w:p>
        </w:tc>
        <w:tc>
          <w:tcPr>
            <w:tcW w:w="80" w:type="dxa"/>
            <w:tcBorders/>
            <w:shd w:fill="FFFFFF" w:val="clear"/>
            <w:vAlign w:val="center"/>
          </w:tcPr>
          <w:p>
            <w:pPr>
              <w:pStyle w:val="TableContents"/>
              <w:bidi w:val="0"/>
              <w:spacing w:before="0" w:after="283"/>
              <w:jc w:val="left"/>
              <w:rPr/>
            </w:pPr>
            <w:r>
              <w:rPr/>
              <w:t> </w:t>
            </w:r>
          </w:p>
        </w:tc>
      </w:tr>
      <w:tr>
        <w:trPr/>
        <w:tc>
          <w:tcPr>
            <w:tcW w:w="255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853" w:type="dxa"/>
            <w:gridSpan w:val="6"/>
            <w:tcBorders/>
            <w:shd w:fill="FFFFFF" w:val="cle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(in thousands)</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50" w:type="dxa"/>
            <w:tcBorders/>
            <w:shd w:fill="FFFFFF" w:val="clear"/>
            <w:vAlign w:val="center"/>
          </w:tcPr>
          <w:p>
            <w:pPr>
              <w:pStyle w:val="TableContents"/>
              <w:bidi w:val="0"/>
              <w:spacing w:before="0" w:after="283"/>
              <w:jc w:val="center"/>
              <w:rPr/>
            </w:pPr>
            <w:r>
              <w:rPr/>
              <w:t> </w:t>
            </w:r>
          </w:p>
        </w:tc>
        <w:tc>
          <w:tcPr>
            <w:tcW w:w="80" w:type="dxa"/>
            <w:tcBorders/>
            <w:shd w:fill="FFFFFF" w:val="clear"/>
            <w:vAlign w:val="center"/>
          </w:tcPr>
          <w:p>
            <w:pPr>
              <w:pStyle w:val="TableContents"/>
              <w:bidi w:val="0"/>
              <w:spacing w:before="0" w:after="283"/>
              <w:jc w:val="left"/>
              <w:rPr/>
            </w:pPr>
            <w:r>
              <w:rPr/>
              <w:t> </w:t>
            </w:r>
          </w:p>
        </w:tc>
      </w:tr>
      <w:tr>
        <w:trPr/>
        <w:tc>
          <w:tcPr>
            <w:tcW w:w="2555"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Net cash provided by (used in):</w:t>
            </w:r>
          </w:p>
        </w:tc>
        <w:tc>
          <w:tcPr>
            <w:tcW w:w="60" w:type="dxa"/>
            <w:tcBorders/>
            <w:shd w:fill="CCEEFF" w:val="clear"/>
            <w:vAlign w:val="center"/>
          </w:tcPr>
          <w:p>
            <w:pPr>
              <w:pStyle w:val="TableContents"/>
              <w:bidi w:val="0"/>
              <w:spacing w:before="0" w:after="283"/>
              <w:jc w:val="left"/>
              <w:rPr/>
            </w:pPr>
            <w:r>
              <w:rPr/>
              <w:t> </w:t>
            </w:r>
          </w:p>
        </w:tc>
        <w:tc>
          <w:tcPr>
            <w:tcW w:w="241" w:type="dxa"/>
            <w:tcBorders/>
            <w:shd w:fill="CCEEFF" w:val="clear"/>
            <w:vAlign w:val="center"/>
          </w:tcPr>
          <w:p>
            <w:pPr>
              <w:pStyle w:val="TableContents"/>
              <w:bidi w:val="0"/>
              <w:spacing w:before="0" w:after="283"/>
              <w:jc w:val="left"/>
              <w:rPr/>
            </w:pPr>
            <w:r>
              <w:rPr/>
              <w:t> </w:t>
            </w:r>
          </w:p>
        </w:tc>
        <w:tc>
          <w:tcPr>
            <w:tcW w:w="1051" w:type="dxa"/>
            <w:tcBorders/>
            <w:shd w:fill="CCEEFF" w:val="clear"/>
            <w:vAlign w:val="center"/>
          </w:tcPr>
          <w:p>
            <w:pPr>
              <w:pStyle w:val="TableContents"/>
              <w:bidi w:val="0"/>
              <w:spacing w:before="0" w:after="283"/>
              <w:jc w:val="left"/>
              <w:rPr/>
            </w:pPr>
            <w:r>
              <w:rPr/>
              <w:t> </w:t>
            </w:r>
          </w:p>
        </w:tc>
        <w:tc>
          <w:tcPr>
            <w:tcW w:w="154" w:type="dxa"/>
            <w:tcBorders/>
            <w:shd w:fill="CCEEFF" w:val="clear"/>
            <w:vAlign w:val="center"/>
          </w:tcPr>
          <w:p>
            <w:pPr>
              <w:pStyle w:val="TableContents"/>
              <w:bidi w:val="0"/>
              <w:spacing w:before="0" w:after="283"/>
              <w:jc w:val="left"/>
              <w:rPr/>
            </w:pPr>
            <w:r>
              <w:rPr/>
              <w:t> </w:t>
            </w:r>
          </w:p>
        </w:tc>
        <w:tc>
          <w:tcPr>
            <w:tcW w:w="115" w:type="dxa"/>
            <w:tcBorders/>
            <w:shd w:fill="CCEEFF" w:val="clear"/>
            <w:vAlign w:val="center"/>
          </w:tcPr>
          <w:p>
            <w:pPr>
              <w:pStyle w:val="TableContents"/>
              <w:bidi w:val="0"/>
              <w:spacing w:before="0" w:after="283"/>
              <w:jc w:val="left"/>
              <w:rPr/>
            </w:pPr>
            <w:r>
              <w:rPr/>
              <w:t> </w:t>
            </w:r>
          </w:p>
        </w:tc>
        <w:tc>
          <w:tcPr>
            <w:tcW w:w="241" w:type="dxa"/>
            <w:tcBorders/>
            <w:shd w:fill="CCEEFF" w:val="clear"/>
            <w:vAlign w:val="center"/>
          </w:tcPr>
          <w:p>
            <w:pPr>
              <w:pStyle w:val="TableContents"/>
              <w:bidi w:val="0"/>
              <w:spacing w:before="0" w:after="283"/>
              <w:jc w:val="left"/>
              <w:rPr/>
            </w:pPr>
            <w:r>
              <w:rPr/>
              <w:t> </w:t>
            </w:r>
          </w:p>
        </w:tc>
        <w:tc>
          <w:tcPr>
            <w:tcW w:w="1051"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50"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r>
      <w:tr>
        <w:trPr/>
        <w:tc>
          <w:tcPr>
            <w:tcW w:w="2555"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Operating activities</w:t>
            </w:r>
          </w:p>
        </w:tc>
        <w:tc>
          <w:tcPr>
            <w:tcW w:w="60" w:type="dxa"/>
            <w:tcBorders/>
            <w:shd w:fill="FFFFFF" w:val="clear"/>
            <w:vAlign w:val="center"/>
          </w:tcPr>
          <w:p>
            <w:pPr>
              <w:pStyle w:val="TableContents"/>
              <w:bidi w:val="0"/>
              <w:spacing w:before="0" w:after="283"/>
              <w:ind w:left="0" w:right="0" w:hanging="0"/>
              <w:jc w:val="left"/>
              <w:rPr/>
            </w:pPr>
            <w:r>
              <w:rPr/>
              <w:t> </w:t>
            </w:r>
          </w:p>
        </w:tc>
        <w:tc>
          <w:tcPr>
            <w:tcW w:w="241" w:type="dxa"/>
            <w:tcBorders/>
            <w:shd w:fill="FFFF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1051"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(6,281</w:t>
            </w:r>
          </w:p>
        </w:tc>
        <w:tc>
          <w:tcPr>
            <w:tcW w:w="154"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115" w:type="dxa"/>
            <w:tcBorders/>
            <w:shd w:fill="FFFFFF" w:val="clear"/>
            <w:vAlign w:val="center"/>
          </w:tcPr>
          <w:p>
            <w:pPr>
              <w:pStyle w:val="TableContents"/>
              <w:bidi w:val="0"/>
              <w:spacing w:before="0" w:after="283"/>
              <w:ind w:left="0" w:right="0" w:hanging="0"/>
              <w:jc w:val="left"/>
              <w:rPr/>
            </w:pPr>
            <w:r>
              <w:rPr/>
              <w:t> </w:t>
            </w:r>
          </w:p>
        </w:tc>
        <w:tc>
          <w:tcPr>
            <w:tcW w:w="241" w:type="dxa"/>
            <w:tcBorders/>
            <w:shd w:fill="FFFF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1051"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2,891</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shd w:fill="FFFF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650"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(9,172</w:t>
            </w:r>
          </w:p>
        </w:tc>
        <w:tc>
          <w:tcPr>
            <w:tcW w:w="80"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r>
        <w:trPr/>
        <w:tc>
          <w:tcPr>
            <w:tcW w:w="2555"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Investing activities</w:t>
            </w:r>
          </w:p>
        </w:tc>
        <w:tc>
          <w:tcPr>
            <w:tcW w:w="60" w:type="dxa"/>
            <w:tcBorders/>
            <w:shd w:fill="CCEEFF" w:val="clear"/>
            <w:vAlign w:val="center"/>
          </w:tcPr>
          <w:p>
            <w:pPr>
              <w:pStyle w:val="TableContents"/>
              <w:bidi w:val="0"/>
              <w:spacing w:before="0" w:after="283"/>
              <w:jc w:val="left"/>
              <w:rPr/>
            </w:pPr>
            <w:r>
              <w:rPr/>
              <w:t> </w:t>
            </w:r>
          </w:p>
        </w:tc>
        <w:tc>
          <w:tcPr>
            <w:tcW w:w="241" w:type="dxa"/>
            <w:tcBorders/>
            <w:shd w:fill="CCEEFF" w:val="clear"/>
            <w:vAlign w:val="center"/>
          </w:tcPr>
          <w:p>
            <w:pPr>
              <w:pStyle w:val="TableContents"/>
              <w:bidi w:val="0"/>
              <w:spacing w:before="0" w:after="283"/>
              <w:ind w:left="0" w:right="0" w:hanging="0"/>
              <w:jc w:val="left"/>
              <w:rPr/>
            </w:pPr>
            <w:r>
              <w:rPr/>
              <w:t> </w:t>
            </w:r>
          </w:p>
        </w:tc>
        <w:tc>
          <w:tcPr>
            <w:tcW w:w="1051"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(9,668</w:t>
            </w:r>
          </w:p>
        </w:tc>
        <w:tc>
          <w:tcPr>
            <w:tcW w:w="154"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115" w:type="dxa"/>
            <w:tcBorders/>
            <w:shd w:fill="CCEEFF" w:val="clear"/>
            <w:vAlign w:val="center"/>
          </w:tcPr>
          <w:p>
            <w:pPr>
              <w:pStyle w:val="TableContents"/>
              <w:bidi w:val="0"/>
              <w:spacing w:before="0" w:after="283"/>
              <w:jc w:val="left"/>
              <w:rPr/>
            </w:pPr>
            <w:r>
              <w:rPr/>
              <w:t> </w:t>
            </w:r>
          </w:p>
        </w:tc>
        <w:tc>
          <w:tcPr>
            <w:tcW w:w="241" w:type="dxa"/>
            <w:tcBorders/>
            <w:shd w:fill="CCEEFF" w:val="clear"/>
            <w:vAlign w:val="center"/>
          </w:tcPr>
          <w:p>
            <w:pPr>
              <w:pStyle w:val="TableContents"/>
              <w:bidi w:val="0"/>
              <w:spacing w:before="0" w:after="283"/>
              <w:ind w:left="0" w:right="0" w:hanging="0"/>
              <w:jc w:val="left"/>
              <w:rPr/>
            </w:pPr>
            <w:r>
              <w:rPr/>
              <w:t> </w:t>
            </w:r>
          </w:p>
        </w:tc>
        <w:tc>
          <w:tcPr>
            <w:tcW w:w="1051"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691</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50"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(10,359</w:t>
            </w:r>
          </w:p>
        </w:tc>
        <w:tc>
          <w:tcPr>
            <w:tcW w:w="80"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r>
        <w:trPr/>
        <w:tc>
          <w:tcPr>
            <w:tcW w:w="2555"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Financing activities</w:t>
            </w:r>
          </w:p>
        </w:tc>
        <w:tc>
          <w:tcPr>
            <w:tcW w:w="60" w:type="dxa"/>
            <w:tcBorders/>
            <w:shd w:fill="FFFFFF" w:val="clear"/>
            <w:vAlign w:val="center"/>
          </w:tcPr>
          <w:p>
            <w:pPr>
              <w:pStyle w:val="TableContents"/>
              <w:bidi w:val="0"/>
              <w:spacing w:before="0" w:after="283"/>
              <w:jc w:val="left"/>
              <w:rPr/>
            </w:pPr>
            <w:r>
              <w:rPr/>
              <w:t> </w:t>
            </w:r>
          </w:p>
        </w:tc>
        <w:tc>
          <w:tcPr>
            <w:tcW w:w="241" w:type="dxa"/>
            <w:tcBorders/>
            <w:shd w:fill="FFFFFF" w:val="clear"/>
            <w:vAlign w:val="center"/>
          </w:tcPr>
          <w:p>
            <w:pPr>
              <w:pStyle w:val="TableContents"/>
              <w:bidi w:val="0"/>
              <w:spacing w:before="0" w:after="283"/>
              <w:ind w:left="0" w:right="0" w:hanging="0"/>
              <w:jc w:val="left"/>
              <w:rPr/>
            </w:pPr>
            <w:r>
              <w:rPr/>
              <w:t> </w:t>
            </w:r>
          </w:p>
        </w:tc>
        <w:tc>
          <w:tcPr>
            <w:tcW w:w="1051"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9,641</w:t>
            </w:r>
          </w:p>
        </w:tc>
        <w:tc>
          <w:tcPr>
            <w:tcW w:w="154" w:type="dxa"/>
            <w:tcBorders/>
            <w:shd w:fill="FFFFFF" w:val="clear"/>
            <w:vAlign w:val="center"/>
          </w:tcPr>
          <w:p>
            <w:pPr>
              <w:pStyle w:val="TableContents"/>
              <w:bidi w:val="0"/>
              <w:spacing w:before="0" w:after="283"/>
              <w:jc w:val="left"/>
              <w:rPr/>
            </w:pPr>
            <w:r>
              <w:rPr/>
              <w:t> </w:t>
            </w:r>
          </w:p>
        </w:tc>
        <w:tc>
          <w:tcPr>
            <w:tcW w:w="115" w:type="dxa"/>
            <w:tcBorders/>
            <w:shd w:fill="FFFFFF" w:val="clear"/>
            <w:vAlign w:val="center"/>
          </w:tcPr>
          <w:p>
            <w:pPr>
              <w:pStyle w:val="TableContents"/>
              <w:bidi w:val="0"/>
              <w:spacing w:before="0" w:after="283"/>
              <w:jc w:val="left"/>
              <w:rPr/>
            </w:pPr>
            <w:r>
              <w:rPr/>
              <w:t> </w:t>
            </w:r>
          </w:p>
        </w:tc>
        <w:tc>
          <w:tcPr>
            <w:tcW w:w="241" w:type="dxa"/>
            <w:tcBorders/>
            <w:shd w:fill="FFFFFF" w:val="clear"/>
            <w:vAlign w:val="center"/>
          </w:tcPr>
          <w:p>
            <w:pPr>
              <w:pStyle w:val="TableContents"/>
              <w:bidi w:val="0"/>
              <w:spacing w:before="0" w:after="283"/>
              <w:ind w:left="0" w:right="0" w:hanging="0"/>
              <w:jc w:val="left"/>
              <w:rPr/>
            </w:pPr>
            <w:r>
              <w:rPr/>
              <w:t> </w:t>
            </w:r>
          </w:p>
        </w:tc>
        <w:tc>
          <w:tcPr>
            <w:tcW w:w="1051"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(5,778</w:t>
            </w:r>
          </w:p>
        </w:tc>
        <w:tc>
          <w:tcPr>
            <w:tcW w:w="80"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50"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15,419</w:t>
            </w:r>
          </w:p>
        </w:tc>
        <w:tc>
          <w:tcPr>
            <w:tcW w:w="80"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i/>
          <w:caps w:val="false"/>
          <w:smallCaps w:val="false"/>
          <w:sz w:val="20"/>
        </w:rPr>
        <w:t>Operating Activities.</w:t>
      </w:r>
      <w:r>
        <w:rPr>
          <w:rFonts w:ascii="Times New Roman" w:hAnsi="Times New Roman"/>
          <w:caps w:val="false"/>
          <w:smallCaps w:val="false"/>
          <w:sz w:val="20"/>
        </w:rPr>
        <w:t xml:space="preserve"> Cash used in operating activities of $6.3 million for the nine months ended September 30, 2025 was mainly due to a $12.5 million net loss and a reduction of working capital</w:t>
      </w:r>
      <w:r>
        <w:rPr>
          <w:rFonts w:ascii="Times New Roman" w:hAnsi="Times New Roman"/>
          <w:caps w:val="false"/>
          <w:smallCaps w:val="false"/>
          <w:sz w:val="20"/>
          <w:shd w:fill="FFFFFF" w:val="clear"/>
        </w:rPr>
        <w:t xml:space="preserve"> of $2.4 million, offset by </w:t>
      </w:r>
      <w:r>
        <w:rPr>
          <w:rFonts w:ascii="Times New Roman" w:hAnsi="Times New Roman"/>
          <w:caps w:val="false"/>
          <w:smallCaps w:val="false"/>
          <w:sz w:val="20"/>
        </w:rPr>
        <w:t>$3.1 million</w:t>
      </w:r>
      <w:r>
        <w:rPr>
          <w:rFonts w:ascii="Times New Roman" w:hAnsi="Times New Roman"/>
          <w:caps w:val="false"/>
          <w:smallCaps w:val="false"/>
          <w:sz w:val="20"/>
          <w:shd w:fill="FFFFFF" w:val="clear"/>
        </w:rPr>
        <w:t> of depreciation, depletion, accretion, and amortization, a $3.6 million impairment of oil and natural gas properties and $1.5 million in</w:t>
      </w:r>
      <w:r>
        <w:rPr>
          <w:rFonts w:ascii="Times New Roman" w:hAnsi="Times New Roman"/>
          <w:caps w:val="false"/>
          <w:smallCaps w:val="false"/>
          <w:sz w:val="20"/>
        </w:rPr>
        <w:t xml:space="preserve"> stock-based compensation. Cash provided by operating activities of $2.9 million for the nine months ended September 30, 2024, was mainly due to a net loss of $13.8 million, offset by $6.4 million of depreciation, depletion, accretion, and amortization, a $6.8 million impairment of oil and natural gas properties and a $2.4 million commodity derivative cash settlement.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i/>
          <w:caps w:val="false"/>
          <w:smallCaps w:val="false"/>
          <w:sz w:val="20"/>
        </w:rPr>
        <w:t>Investing Activities.</w:t>
      </w:r>
      <w:r>
        <w:rPr>
          <w:rFonts w:ascii="Times New Roman" w:hAnsi="Times New Roman"/>
          <w:caps w:val="false"/>
          <w:smallCaps w:val="false"/>
          <w:sz w:val="20"/>
        </w:rPr>
        <w:t xml:space="preserve"> Cash used in investing activities for the nine months ended September 30, 2025 was $9.7 million as compared to cash provided by investing activities of $0.7 million for the comparable period in 2024. The primary use of cash in our investing activities for the nine months ended September 30, 2025 was attributable to the Synergy acquisition noted above in </w:t>
      </w:r>
      <w:r>
        <w:rPr>
          <w:rFonts w:ascii="Times New Roman" w:hAnsi="Times New Roman"/>
          <w:i/>
          <w:caps w:val="false"/>
          <w:smallCaps w:val="false"/>
          <w:sz w:val="20"/>
        </w:rPr>
        <w:t>Material Developments - Synergy - acquisition of industrial gas properties </w:t>
      </w:r>
      <w:r>
        <w:rPr>
          <w:rFonts w:ascii="Times New Roman" w:hAnsi="Times New Roman"/>
          <w:caps w:val="false"/>
          <w:smallCaps w:val="false"/>
          <w:sz w:val="20"/>
        </w:rPr>
        <w:t>and recent drilling activity</w:t>
      </w:r>
      <w:r>
        <w:rPr>
          <w:rFonts w:ascii="Times New Roman" w:hAnsi="Times New Roman"/>
          <w:i/>
          <w:caps w:val="false"/>
          <w:smallCaps w:val="false"/>
          <w:sz w:val="20"/>
        </w:rPr>
        <w:t>. </w:t>
      </w:r>
      <w:r>
        <w:rPr>
          <w:rFonts w:ascii="Times New Roman" w:hAnsi="Times New Roman"/>
          <w:caps w:val="false"/>
          <w:smallCaps w:val="false"/>
          <w:sz w:val="20"/>
        </w:rPr>
        <w:t>For the nine months ended September 30, 2024, cash provided by our investing activities related to proceeds received from the divestiture of oil and gas properties, offset by the June 2024 acquisition by the Company of certain properties located in Toole County, Montana from Wavetech Helium, Inc. and capital expenditures.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i/>
          <w:caps w:val="false"/>
          <w:smallCaps w:val="false"/>
          <w:sz w:val="20"/>
        </w:rPr>
        <w:t>Financing Activities.</w:t>
      </w:r>
      <w:r>
        <w:rPr>
          <w:rFonts w:ascii="Times New Roman" w:hAnsi="Times New Roman"/>
          <w:caps w:val="false"/>
          <w:smallCaps w:val="false"/>
          <w:sz w:val="20"/>
        </w:rPr>
        <w:t xml:space="preserve"> Cash provided by financing activities for the nine months ended September 30, 2025 was $9.6 million as compared to cash used in financing activities of $5.8 million for the comparable period in 2024. As discussed in </w:t>
      </w:r>
      <w:r>
        <w:rPr>
          <w:rFonts w:ascii="Times New Roman" w:hAnsi="Times New Roman"/>
          <w:i/>
          <w:caps w:val="false"/>
          <w:smallCaps w:val="false"/>
          <w:sz w:val="20"/>
        </w:rPr>
        <w:t>Material Developments</w:t>
      </w:r>
      <w:r>
        <w:rPr>
          <w:rFonts w:ascii="Times New Roman" w:hAnsi="Times New Roman"/>
          <w:caps w:val="false"/>
          <w:smallCaps w:val="false"/>
          <w:sz w:val="20"/>
        </w:rPr>
        <w:t> </w:t>
      </w:r>
      <w:r>
        <w:rPr>
          <w:rFonts w:ascii="Times New Roman" w:hAnsi="Times New Roman"/>
          <w:i/>
          <w:caps w:val="false"/>
          <w:smallCaps w:val="false"/>
          <w:sz w:val="20"/>
        </w:rPr>
        <w:t>- Underwritten Offering</w:t>
      </w:r>
      <w:r>
        <w:rPr>
          <w:rFonts w:ascii="Times New Roman" w:hAnsi="Times New Roman"/>
          <w:caps w:val="false"/>
          <w:smallCaps w:val="false"/>
          <w:sz w:val="20"/>
        </w:rPr>
        <w:t xml:space="preserve"> above, the primary driver of finance cash inflow during the nine months ended September 30, 2025, was our first quarter equity offering which generated net proceeds of $11.9 million, offset by share repurchases. The primary use of cash in our financing activities during the nine months ended September 30, 2024 related to net repayments under our credit facility of $5.0 million, share repurchases, and tax withholdings related to share based compensation of $0.7 million.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caps w:val="false"/>
          <w:smallCaps w:val="false"/>
          <w:sz w:val="20"/>
        </w:rPr>
      </w:pPr>
      <w:bookmarkStart w:id="12" w:name="quant"/>
      <w:bookmarkEnd w:id="12"/>
      <w:r>
        <w:rPr>
          <w:rFonts w:ascii="Times New Roman" w:hAnsi="Times New Roman"/>
          <w:b/>
          <w:caps w:val="false"/>
          <w:smallCaps w:val="false"/>
          <w:sz w:val="20"/>
        </w:rPr>
        <w:t>Item 3. Quantitative and Qualitative Disclosures About Market Risk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Pursuant to Item 305(e) of Regulation S-K (§ 229.305(e)), the Company is not required to provide the information required by this Item as it is a “smaller reporting company,” as defined by Rule 229.10(f)(1).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27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 w:hAnsi="Times New Roman"/>
          <w:b/>
          <w:caps w:val="false"/>
          <w:smallCaps w:val="false"/>
          <w:sz w:val="20"/>
        </w:rPr>
      </w:pPr>
      <w:bookmarkStart w:id="13" w:name="controls"/>
      <w:bookmarkEnd w:id="13"/>
      <w:r>
        <w:rPr>
          <w:rFonts w:ascii="Times New Roman" w:hAnsi="Times New Roman"/>
          <w:b/>
          <w:caps w:val="false"/>
          <w:smallCaps w:val="false"/>
          <w:sz w:val="20"/>
        </w:rPr>
        <w:t>Item 4. Controls and Procedures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Conclusion Regarding the Effectiveness of Disclosure Controls and Procedures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We are required to maintain disclosure controls and procedures (as defined by Rules 13a-15(e) and 15d-15(e) under the Exchange Act) that are designed to ensure that information required to be disclosed by the Company in reports that it files or submits under the Exchange Act is (i) recorded, processed, summarized and reported within the time periods specified in the SEC rules and forms and (ii) accumulated and communicated to the Company’s management, including its principal executive officer and principal financial officer, as appropriate to allow timely decisions regarding required disclosure.</w:t>
      </w:r>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As of September 30, 2025, our management, including our Chief Executive Officer and Chief Financial Officer, carried out an evaluation of the effectiveness of the design and operation of our disclosure controls and procedures as defined in Rules 13a-15(e) and 15d-15(e) of the Exchange Act. Based on the results of the evaluation, the Chief Executive Officer and Chief Financial Officer concluded that our disclosure controls were not effective as of September 30, 2025 to ensure that information required to be disclosed by us in reports that we file or submit under the Exchange Act is recorded, processed, summarized and reported within the time periods specified in SEC rules and forms and is accumulated and communicated to our management, including our Chief Executive Officer and Chief Financial Officer, as appropriate to allow timely decisions regarding required disclosures. Such determination was made due to a material weakness in our internal control over financial reporting as of December 31, 2024, as discussed below.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A material weakness is a deficiency, or a combination of deficiencies, in internal control over financial reporting, such that there is a reasonable possibility that a material misstatement of the Company’s annual or interim financial statements will not be prevented or detected on a timely basis. As previously reported in our Annual Report on Form 10-K for the year ended December 31, 2024, filed with the SEC on March 13, 2025, in connection with our assessment of the effectiveness of our internal control over financial reporting at the end of our last fiscal year, management identified a material weakness in our internal control over financial reporting as of December 31, 2024.  Specifically, our accounting system was not designed appropriately, and reliance could not be placed on some of the control elements of the accounting system. These control elements include a lack of certain functionality related to system-based account reconciliations, missing systematic controls in areas such as segregation of duties enforcement and data input validation, and an absence of independent evaluation of third-party information technology controls ("ITGCs"). The Company's manual review controls partially compensate for the system design limitations, but this material weakness cannot be remediated without the implementation of a system-based solution.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Limitations on Effectiveness of Controls and Procedures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In designing and evaluating the disclosure controls and procedures, management recognizes that any controls and procedures, no matter how well designed and operated, can provide only reasonable assurance of achieving the desired control objectives. In addition, the design of disclosure controls and procedures must reflect the fact that there are resource constraints and that management is required to apply its judgment in evaluating the benefits of possible controls and procedures relative to their costs.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Changes in Internal Control over Financial Reporting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In January 2025, we began outsourcing much of our day-to-day accounting to a third-party provider, which involves utilizing a new accounting system that we believe will remediate the historic material weakness by year end 2025. The outsourcing arrangement is subject to the Company's supervision and review and many processes such as oil and natural gas reserves, income taxes, payroll, asset retirement obligations, and financial reporting among other corporate accounting functions continue to be maintained by Company accounting personnel. We anticipate assessing controls over the new accounting system as part of our year end 2025 reporting.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Except as disclosed above there were no changes in our internal control over financial reporting during the</w:t>
      </w:r>
      <w:r>
        <w:rPr>
          <w:rFonts w:ascii="Times New Roman" w:hAnsi="Times New Roman"/>
          <w:caps w:val="false"/>
          <w:smallCaps w:val="false"/>
          <w:color w:val="000000"/>
          <w:sz w:val="20"/>
        </w:rPr>
        <w:t> three months ended September 30, 2025</w:t>
      </w:r>
      <w:r>
        <w:rPr>
          <w:rFonts w:ascii="Times New Roman" w:hAnsi="Times New Roman"/>
          <w:caps w:val="false"/>
          <w:smallCaps w:val="false"/>
          <w:sz w:val="20"/>
        </w:rPr>
        <w:t>, that have materially affected or are reasonably likely to materially affect, our internal control over financial reporting.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bookmarkStart w:id="14" w:name="parttwootherinfo"/>
      <w:bookmarkEnd w:id="14"/>
      <w:r>
        <w:rPr>
          <w:rFonts w:ascii="Times New Roman" w:hAnsi="Times New Roman"/>
          <w:b/>
          <w:caps w:val="false"/>
          <w:smallCaps w:val="false"/>
          <w:sz w:val="20"/>
        </w:rPr>
        <w:t xml:space="preserve">PART II </w:t>
      </w:r>
      <w:r>
        <w:rPr>
          <w:rFonts w:ascii="Times New Roman" w:hAnsi="Times New Roman"/>
          <w:caps w:val="false"/>
          <w:smallCaps w:val="false"/>
          <w:sz w:val="20"/>
        </w:rPr>
        <w:t xml:space="preserve">– </w:t>
      </w:r>
      <w:r>
        <w:rPr>
          <w:rFonts w:ascii="Times New Roman" w:hAnsi="Times New Roman"/>
          <w:b/>
          <w:caps w:val="false"/>
          <w:smallCaps w:val="false"/>
          <w:sz w:val="20"/>
        </w:rPr>
        <w:t>OTHER INFORMATION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caps w:val="false"/>
          <w:smallCaps w:val="false"/>
          <w:sz w:val="20"/>
        </w:rPr>
      </w:pPr>
      <w:bookmarkStart w:id="15" w:name="legal"/>
      <w:bookmarkEnd w:id="15"/>
      <w:r>
        <w:rPr>
          <w:rFonts w:ascii="Times New Roman" w:hAnsi="Times New Roman"/>
          <w:b/>
          <w:caps w:val="false"/>
          <w:smallCaps w:val="false"/>
          <w:sz w:val="20"/>
        </w:rPr>
        <w:t>Item 1. Legal Proceedings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From time to time, we may become party to litigation or other legal proceedings that we consider to be a part of the ordinary course of our business. We are not currently involved in any legal proceedings that we believe could reasonably be expected to have a material adverse effect on our business, prospects, financial condition or results of operations. We may become involved in material legal proceedings in the future.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caps w:val="false"/>
          <w:smallCaps w:val="false"/>
          <w:sz w:val="20"/>
        </w:rPr>
      </w:pPr>
      <w:bookmarkStart w:id="16" w:name="riskfactors"/>
      <w:bookmarkEnd w:id="16"/>
      <w:r>
        <w:rPr>
          <w:rFonts w:ascii="Times New Roman" w:hAnsi="Times New Roman"/>
          <w:b/>
          <w:caps w:val="false"/>
          <w:smallCaps w:val="false"/>
          <w:sz w:val="20"/>
        </w:rPr>
        <w:t>Item 1A. Risk Factors.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Except as noted below, there have been no material changes from the risk factors previously disclosed in the Company’s Annual Report on Form 10-K for the year ended December 31, 2024, as filed with the SEC on March 13, 2025, under the heading “Item 1A. Risk Factors”, except as set forth below, and investors should review the risks provided in the Annual Report and below, prior to making an investment in the Company. The business, financial condition and operating results of the Company can be affected by a number of factors, whether currently known or unknown, including but not limited to those described in the Annual Report and below, any one or more of which could, directly or indirectly, cause the Company’s actual financial condition and operating results to vary materially from past, or from anticipated future, financial condition and operating results. Any of these factors, in whole or in part, could materially and adversely affect the Company’s business, financial condition, operating results and stock price.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Risks Related to U.S. Government Operations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i/>
          <w:caps w:val="false"/>
          <w:smallCaps w:val="false"/>
          <w:sz w:val="20"/>
        </w:rPr>
      </w:pPr>
      <w:r>
        <w:rPr>
          <w:rFonts w:ascii="Times New Roman" w:hAnsi="Times New Roman"/>
          <w:b/>
          <w:i/>
          <w:caps w:val="false"/>
          <w:smallCaps w:val="false"/>
          <w:sz w:val="20"/>
        </w:rPr>
        <w:t>A prolonged U.S. federal government shutdown could adversely affect our business, results of operations, and financial condition.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U.S. federal government periodically experiences funding gaps that result in partial or complete shutdowns of government operations, including the current one that is ongoing as of the filing date of this Report. A prolonged shutdown could adversely impact the U.S. economy, financial markets, and our business directly and indirectly. During a shutdown, many federal agencies suspend or delay regulatory approvals, contract awards, payments, and other routine functions. To the extent that our business depends on U.S. government contracts, grants, permits, licenses, or other approvals, a shutdown could result in the delay, suspension, or cancellation of such activities, which could materially impact our operations and development activities. Similarly, we do not expect that the resale registration statement we filed in October 2025 to register the resale of certain shares of common stock available to be sold under the terms of the purchase agreement with Roth Principal, as discussed above, will be able to be declared effective until after the government shutdown ends.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Additionally, even though the Company does not contract directly with the federal government, a shutdown could have broader negative effects on consumer and business confidence, supply chains, access to financing, and the overall economy. In addition, uncertainty regarding the duration or frequency of government shutdowns may contribute to market volatility and reduced customer spending.  Any of these events, individually or in the aggregate, could have a material adverse effect on our business, financial condition, results of operations, and stock price.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Risks Related to Global Trade and Tariff Policies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i/>
          <w:caps w:val="false"/>
          <w:smallCaps w:val="false"/>
          <w:sz w:val="20"/>
        </w:rPr>
      </w:pPr>
      <w:r>
        <w:rPr>
          <w:rFonts w:ascii="Times New Roman" w:hAnsi="Times New Roman"/>
          <w:b/>
          <w:i/>
          <w:caps w:val="false"/>
          <w:smallCaps w:val="false"/>
          <w:sz w:val="20"/>
        </w:rPr>
        <w:t>Our business is subject to risks associated with imposition of tariffs or other trade barriers by the United States or foreign governments.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Recently there has been increasing uncertainty regarding international trade policies, including the ongoing implementation of tariffs and trade wars on a wide range of goods and materials, as well as retaliatory measures by other countries. These developments may result in higher costs for certain raw materials, components, and finished products, and may adversely impact our supply chain, including pricing, delivery timeline and general availability of products needed for our operations.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Company may be unable to fully mitigate any cost increases through price adjustments, supplier diversification, or other measures.  Accordingly, continued or heightened global trade tensions or changes in tariff regimes, or the imposition of new trade restrictions could have a material adverse effect on our business, financial condition, results of operations, and cash flows.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28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 w:hAnsi="Times New Roman"/>
          <w:b/>
          <w:caps w:val="false"/>
          <w:smallCaps w:val="false"/>
          <w:sz w:val="20"/>
        </w:rPr>
      </w:pPr>
      <w:bookmarkStart w:id="17" w:name="Unregistered"/>
      <w:bookmarkEnd w:id="17"/>
      <w:r>
        <w:rPr>
          <w:rFonts w:ascii="Times New Roman" w:hAnsi="Times New Roman"/>
          <w:b/>
          <w:caps w:val="false"/>
          <w:smallCaps w:val="false"/>
          <w:sz w:val="20"/>
        </w:rPr>
        <w:t>Item 2. Unregistered Sales of Equity Securities and Use of Proceeds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i/>
          <w:caps w:val="false"/>
          <w:smallCaps w:val="false"/>
          <w:sz w:val="20"/>
        </w:rPr>
      </w:pPr>
      <w:r>
        <w:rPr>
          <w:rFonts w:ascii="Times New Roman" w:hAnsi="Times New Roman"/>
          <w:b/>
          <w:i/>
          <w:caps w:val="false"/>
          <w:smallCaps w:val="false"/>
          <w:sz w:val="20"/>
        </w:rPr>
        <w:t>Recent Sales of Unregistered Securities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There have been no sales of unregistered securities during the quarter ended September 30, 2025 which have not previously been reported in a Current Report on Form 8-K.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i/>
          <w:caps w:val="false"/>
          <w:smallCaps w:val="false"/>
          <w:sz w:val="20"/>
        </w:rPr>
      </w:pPr>
      <w:r>
        <w:rPr>
          <w:rFonts w:ascii="Times New Roman" w:hAnsi="Times New Roman"/>
          <w:b/>
          <w:i/>
          <w:caps w:val="false"/>
          <w:smallCaps w:val="false"/>
          <w:sz w:val="20"/>
        </w:rPr>
        <w:t>Purchases of Equity Securities by the Issuer and Affiliated Purchasers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following table sets forth share repurchase activity for the three months ended September 30, 2025:</w:t>
      </w:r>
    </w:p>
    <w:p>
      <w:pPr>
        <w:pStyle w:val="TextBody"/>
        <w:bidi w:val="0"/>
        <w:spacing w:before="0" w:after="0"/>
        <w:ind w:left="0" w:right="0" w:hanging="0"/>
        <w:jc w:val="left"/>
        <w:rPr>
          <w:caps w:val="false"/>
          <w:smallCaps w:val="false"/>
        </w:rPr>
      </w:pPr>
      <w:r>
        <w:rPr>
          <w:caps w:val="false"/>
          <w:smallCaps w:val="false"/>
        </w:rPr>
        <w:t> </w:t>
      </w:r>
    </w:p>
    <w:tbl>
      <w:tblPr>
        <w:tblW w:w="8286" w:type="dxa"/>
        <w:jc w:val="left"/>
        <w:tblInd w:w="0" w:type="dxa"/>
        <w:tblLayout w:type="fixed"/>
        <w:tblCellMar>
          <w:top w:w="0" w:type="dxa"/>
          <w:left w:w="0" w:type="dxa"/>
          <w:bottom w:w="0" w:type="dxa"/>
          <w:right w:w="0" w:type="dxa"/>
        </w:tblCellMar>
      </w:tblPr>
      <w:tblGrid>
        <w:gridCol w:w="2795"/>
        <w:gridCol w:w="60"/>
        <w:gridCol w:w="228"/>
        <w:gridCol w:w="991"/>
        <w:gridCol w:w="60"/>
        <w:gridCol w:w="60"/>
        <w:gridCol w:w="405"/>
        <w:gridCol w:w="844"/>
        <w:gridCol w:w="60"/>
        <w:gridCol w:w="60"/>
        <w:gridCol w:w="228"/>
        <w:gridCol w:w="991"/>
        <w:gridCol w:w="60"/>
        <w:gridCol w:w="60"/>
        <w:gridCol w:w="170"/>
        <w:gridCol w:w="1154"/>
        <w:gridCol w:w="60"/>
      </w:tblGrid>
      <w:tr>
        <w:trPr/>
        <w:tc>
          <w:tcPr>
            <w:tcW w:w="27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28" w:type="dxa"/>
            <w:tcBorders/>
            <w:shd w:fill="FFFFFF" w:val="clear"/>
            <w:vAlign w:val="center"/>
          </w:tcPr>
          <w:p>
            <w:pPr>
              <w:pStyle w:val="TableContents"/>
              <w:bidi w:val="0"/>
              <w:spacing w:before="0" w:after="283"/>
              <w:jc w:val="left"/>
              <w:rPr/>
            </w:pPr>
            <w:r>
              <w:rPr/>
              <w:t> </w:t>
            </w:r>
          </w:p>
        </w:tc>
        <w:tc>
          <w:tcPr>
            <w:tcW w:w="991"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05" w:type="dxa"/>
            <w:tcBorders/>
            <w:shd w:fill="FFFFFF" w:val="clear"/>
            <w:vAlign w:val="center"/>
          </w:tcPr>
          <w:p>
            <w:pPr>
              <w:pStyle w:val="TableContents"/>
              <w:bidi w:val="0"/>
              <w:spacing w:before="0" w:after="283"/>
              <w:jc w:val="left"/>
              <w:rPr/>
            </w:pPr>
            <w:r>
              <w:rPr/>
              <w:t> </w:t>
            </w:r>
          </w:p>
        </w:tc>
        <w:tc>
          <w:tcPr>
            <w:tcW w:w="844"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19" w:type="dxa"/>
            <w:gridSpan w:val="2"/>
            <w:tcBorders/>
            <w:shd w:fill="FFFFFF" w:val="cle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Total Number</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324" w:type="dxa"/>
            <w:gridSpan w:val="2"/>
            <w:tcBorders/>
            <w:shd w:fill="FFFFFF" w:val="cle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Approximate</w:t>
            </w:r>
          </w:p>
        </w:tc>
        <w:tc>
          <w:tcPr>
            <w:tcW w:w="60" w:type="dxa"/>
            <w:tcBorders/>
            <w:shd w:fill="FFFFFF" w:val="clear"/>
            <w:vAlign w:val="center"/>
          </w:tcPr>
          <w:p>
            <w:pPr>
              <w:pStyle w:val="TableContents"/>
              <w:bidi w:val="0"/>
              <w:spacing w:before="0" w:after="283"/>
              <w:jc w:val="left"/>
              <w:rPr/>
            </w:pPr>
            <w:r>
              <w:rPr/>
              <w:t> </w:t>
            </w:r>
          </w:p>
        </w:tc>
      </w:tr>
      <w:tr>
        <w:trPr/>
        <w:tc>
          <w:tcPr>
            <w:tcW w:w="27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28" w:type="dxa"/>
            <w:tcBorders/>
            <w:shd w:fill="FFFFFF" w:val="clear"/>
            <w:vAlign w:val="center"/>
          </w:tcPr>
          <w:p>
            <w:pPr>
              <w:pStyle w:val="TableContents"/>
              <w:bidi w:val="0"/>
              <w:spacing w:before="0" w:after="283"/>
              <w:jc w:val="left"/>
              <w:rPr/>
            </w:pPr>
            <w:r>
              <w:rPr/>
              <w:t> </w:t>
            </w:r>
          </w:p>
        </w:tc>
        <w:tc>
          <w:tcPr>
            <w:tcW w:w="991"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05" w:type="dxa"/>
            <w:tcBorders/>
            <w:shd w:fill="FFFFFF" w:val="clear"/>
            <w:vAlign w:val="center"/>
          </w:tcPr>
          <w:p>
            <w:pPr>
              <w:pStyle w:val="TableContents"/>
              <w:bidi w:val="0"/>
              <w:spacing w:before="0" w:after="283"/>
              <w:jc w:val="left"/>
              <w:rPr/>
            </w:pPr>
            <w:r>
              <w:rPr/>
              <w:t> </w:t>
            </w:r>
          </w:p>
        </w:tc>
        <w:tc>
          <w:tcPr>
            <w:tcW w:w="844"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19" w:type="dxa"/>
            <w:gridSpan w:val="2"/>
            <w:tcBorders/>
            <w:shd w:fill="FFFFFF" w:val="cle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of Shares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324" w:type="dxa"/>
            <w:gridSpan w:val="2"/>
            <w:tcBorders/>
            <w:shd w:fill="FFFFFF" w:val="cle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Dollar Value of</w:t>
            </w:r>
          </w:p>
        </w:tc>
        <w:tc>
          <w:tcPr>
            <w:tcW w:w="60" w:type="dxa"/>
            <w:tcBorders/>
            <w:shd w:fill="FFFFFF" w:val="clear"/>
            <w:vAlign w:val="center"/>
          </w:tcPr>
          <w:p>
            <w:pPr>
              <w:pStyle w:val="TableContents"/>
              <w:bidi w:val="0"/>
              <w:spacing w:before="0" w:after="283"/>
              <w:jc w:val="left"/>
              <w:rPr/>
            </w:pPr>
            <w:r>
              <w:rPr/>
              <w:t> </w:t>
            </w:r>
          </w:p>
        </w:tc>
      </w:tr>
      <w:tr>
        <w:trPr/>
        <w:tc>
          <w:tcPr>
            <w:tcW w:w="27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28" w:type="dxa"/>
            <w:tcBorders/>
            <w:shd w:fill="FFFFFF" w:val="clear"/>
            <w:vAlign w:val="center"/>
          </w:tcPr>
          <w:p>
            <w:pPr>
              <w:pStyle w:val="TableContents"/>
              <w:bidi w:val="0"/>
              <w:spacing w:before="0" w:after="283"/>
              <w:jc w:val="left"/>
              <w:rPr/>
            </w:pPr>
            <w:r>
              <w:rPr/>
              <w:t> </w:t>
            </w:r>
          </w:p>
        </w:tc>
        <w:tc>
          <w:tcPr>
            <w:tcW w:w="991"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05" w:type="dxa"/>
            <w:tcBorders/>
            <w:shd w:fill="FFFFFF" w:val="clear"/>
            <w:vAlign w:val="center"/>
          </w:tcPr>
          <w:p>
            <w:pPr>
              <w:pStyle w:val="TableContents"/>
              <w:bidi w:val="0"/>
              <w:spacing w:before="0" w:after="283"/>
              <w:jc w:val="left"/>
              <w:rPr/>
            </w:pPr>
            <w:r>
              <w:rPr/>
              <w:t> </w:t>
            </w:r>
          </w:p>
        </w:tc>
        <w:tc>
          <w:tcPr>
            <w:tcW w:w="844"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19" w:type="dxa"/>
            <w:gridSpan w:val="2"/>
            <w:tcBorders/>
            <w:shd w:fill="FFFFFF" w:val="cle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Purchased as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324" w:type="dxa"/>
            <w:gridSpan w:val="2"/>
            <w:tcBorders/>
            <w:shd w:fill="FFFFFF" w:val="cle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Shares that</w:t>
            </w:r>
          </w:p>
        </w:tc>
        <w:tc>
          <w:tcPr>
            <w:tcW w:w="60" w:type="dxa"/>
            <w:tcBorders/>
            <w:shd w:fill="FFFFFF" w:val="clear"/>
            <w:vAlign w:val="center"/>
          </w:tcPr>
          <w:p>
            <w:pPr>
              <w:pStyle w:val="TableContents"/>
              <w:bidi w:val="0"/>
              <w:spacing w:before="0" w:after="283"/>
              <w:jc w:val="left"/>
              <w:rPr/>
            </w:pPr>
            <w:r>
              <w:rPr/>
              <w:t> </w:t>
            </w:r>
          </w:p>
        </w:tc>
      </w:tr>
      <w:tr>
        <w:trPr/>
        <w:tc>
          <w:tcPr>
            <w:tcW w:w="27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28" w:type="dxa"/>
            <w:tcBorders/>
            <w:shd w:fill="FFFFFF" w:val="clear"/>
            <w:vAlign w:val="center"/>
          </w:tcPr>
          <w:p>
            <w:pPr>
              <w:pStyle w:val="TableContents"/>
              <w:bidi w:val="0"/>
              <w:spacing w:before="0" w:after="283"/>
              <w:jc w:val="left"/>
              <w:rPr/>
            </w:pPr>
            <w:r>
              <w:rPr/>
              <w:t> </w:t>
            </w:r>
          </w:p>
        </w:tc>
        <w:tc>
          <w:tcPr>
            <w:tcW w:w="991"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05" w:type="dxa"/>
            <w:tcBorders/>
            <w:shd w:fill="FFFFFF" w:val="clear"/>
            <w:vAlign w:val="center"/>
          </w:tcPr>
          <w:p>
            <w:pPr>
              <w:pStyle w:val="TableContents"/>
              <w:bidi w:val="0"/>
              <w:spacing w:before="0" w:after="283"/>
              <w:jc w:val="left"/>
              <w:rPr/>
            </w:pPr>
            <w:r>
              <w:rPr/>
              <w:t> </w:t>
            </w:r>
          </w:p>
        </w:tc>
        <w:tc>
          <w:tcPr>
            <w:tcW w:w="844"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19" w:type="dxa"/>
            <w:gridSpan w:val="2"/>
            <w:tcBorders/>
            <w:shd w:fill="FFFFFF" w:val="cle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Part of</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324" w:type="dxa"/>
            <w:gridSpan w:val="2"/>
            <w:tcBorders/>
            <w:shd w:fill="FFFFFF" w:val="cle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May Yet Be</w:t>
            </w:r>
          </w:p>
        </w:tc>
        <w:tc>
          <w:tcPr>
            <w:tcW w:w="60" w:type="dxa"/>
            <w:tcBorders/>
            <w:shd w:fill="FFFFFF" w:val="clear"/>
            <w:vAlign w:val="center"/>
          </w:tcPr>
          <w:p>
            <w:pPr>
              <w:pStyle w:val="TableContents"/>
              <w:bidi w:val="0"/>
              <w:spacing w:before="0" w:after="283"/>
              <w:jc w:val="left"/>
              <w:rPr/>
            </w:pPr>
            <w:r>
              <w:rPr/>
              <w:t> </w:t>
            </w:r>
          </w:p>
        </w:tc>
      </w:tr>
      <w:tr>
        <w:trPr/>
        <w:tc>
          <w:tcPr>
            <w:tcW w:w="27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28" w:type="dxa"/>
            <w:tcBorders/>
            <w:shd w:fill="FFFFFF" w:val="clear"/>
            <w:vAlign w:val="center"/>
          </w:tcPr>
          <w:p>
            <w:pPr>
              <w:pStyle w:val="TableContents"/>
              <w:bidi w:val="0"/>
              <w:spacing w:before="0" w:after="283"/>
              <w:jc w:val="left"/>
              <w:rPr/>
            </w:pPr>
            <w:r>
              <w:rPr/>
              <w:t> </w:t>
            </w:r>
          </w:p>
        </w:tc>
        <w:tc>
          <w:tcPr>
            <w:tcW w:w="991"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05" w:type="dxa"/>
            <w:tcBorders/>
            <w:shd w:fill="FFFFFF" w:val="clear"/>
            <w:vAlign w:val="center"/>
          </w:tcPr>
          <w:p>
            <w:pPr>
              <w:pStyle w:val="TableContents"/>
              <w:bidi w:val="0"/>
              <w:spacing w:before="0" w:after="283"/>
              <w:jc w:val="left"/>
              <w:rPr/>
            </w:pPr>
            <w:r>
              <w:rPr/>
              <w:t> </w:t>
            </w:r>
          </w:p>
        </w:tc>
        <w:tc>
          <w:tcPr>
            <w:tcW w:w="844"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19" w:type="dxa"/>
            <w:gridSpan w:val="2"/>
            <w:tcBorders/>
            <w:shd w:fill="FFFFFF" w:val="cle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Publicly</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324" w:type="dxa"/>
            <w:gridSpan w:val="2"/>
            <w:tcBorders/>
            <w:shd w:fill="FFFFFF" w:val="cle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Purchased</w:t>
            </w:r>
          </w:p>
        </w:tc>
        <w:tc>
          <w:tcPr>
            <w:tcW w:w="60" w:type="dxa"/>
            <w:tcBorders/>
            <w:shd w:fill="FFFFFF" w:val="clear"/>
            <w:vAlign w:val="center"/>
          </w:tcPr>
          <w:p>
            <w:pPr>
              <w:pStyle w:val="TableContents"/>
              <w:bidi w:val="0"/>
              <w:spacing w:before="0" w:after="283"/>
              <w:jc w:val="left"/>
              <w:rPr/>
            </w:pPr>
            <w:r>
              <w:rPr/>
              <w:t> </w:t>
            </w:r>
          </w:p>
        </w:tc>
      </w:tr>
      <w:tr>
        <w:trPr/>
        <w:tc>
          <w:tcPr>
            <w:tcW w:w="27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19" w:type="dxa"/>
            <w:gridSpan w:val="2"/>
            <w:tcBorders/>
            <w:shd w:fill="FFFFFF" w:val="cle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Total Number</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49" w:type="dxa"/>
            <w:gridSpan w:val="2"/>
            <w:tcBorders/>
            <w:shd w:fill="FFFFFF" w:val="cle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Average</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19" w:type="dxa"/>
            <w:gridSpan w:val="2"/>
            <w:tcBorders/>
            <w:shd w:fill="FFFFFF" w:val="cle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Announced</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324" w:type="dxa"/>
            <w:gridSpan w:val="2"/>
            <w:tcBorders/>
            <w:shd w:fill="FFFFFF" w:val="cle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Under the</w:t>
            </w:r>
          </w:p>
        </w:tc>
        <w:tc>
          <w:tcPr>
            <w:tcW w:w="60" w:type="dxa"/>
            <w:tcBorders/>
            <w:shd w:fill="FFFFFF" w:val="clear"/>
            <w:vAlign w:val="center"/>
          </w:tcPr>
          <w:p>
            <w:pPr>
              <w:pStyle w:val="TableContents"/>
              <w:bidi w:val="0"/>
              <w:spacing w:before="0" w:after="283"/>
              <w:jc w:val="left"/>
              <w:rPr/>
            </w:pPr>
            <w:r>
              <w:rPr/>
              <w:t> </w:t>
            </w:r>
          </w:p>
        </w:tc>
      </w:tr>
      <w:tr>
        <w:trPr/>
        <w:tc>
          <w:tcPr>
            <w:tcW w:w="27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19" w:type="dxa"/>
            <w:gridSpan w:val="2"/>
            <w:tcBorders/>
            <w:shd w:fill="FFFFFF" w:val="cle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of Shares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49" w:type="dxa"/>
            <w:gridSpan w:val="2"/>
            <w:tcBorders/>
            <w:shd w:fill="FFFFFF" w:val="cle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Price Paid Per</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19" w:type="dxa"/>
            <w:gridSpan w:val="2"/>
            <w:tcBorders/>
            <w:shd w:fill="FFFFFF" w:val="cle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Plans or</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324" w:type="dxa"/>
            <w:gridSpan w:val="2"/>
            <w:tcBorders/>
            <w:shd w:fill="FFFFFF" w:val="cle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Plans or</w:t>
            </w:r>
          </w:p>
        </w:tc>
        <w:tc>
          <w:tcPr>
            <w:tcW w:w="60" w:type="dxa"/>
            <w:tcBorders/>
            <w:shd w:fill="FFFFFF" w:val="clear"/>
            <w:vAlign w:val="center"/>
          </w:tcPr>
          <w:p>
            <w:pPr>
              <w:pStyle w:val="TableContents"/>
              <w:bidi w:val="0"/>
              <w:spacing w:before="0" w:after="283"/>
              <w:jc w:val="left"/>
              <w:rPr/>
            </w:pPr>
            <w:r>
              <w:rPr/>
              <w:t> </w:t>
            </w:r>
          </w:p>
        </w:tc>
      </w:tr>
      <w:tr>
        <w:trPr/>
        <w:tc>
          <w:tcPr>
            <w:tcW w:w="2795"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Period</w:t>
            </w:r>
          </w:p>
        </w:tc>
        <w:tc>
          <w:tcPr>
            <w:tcW w:w="60" w:type="dxa"/>
            <w:tcBorders/>
            <w:shd w:fill="FFFFFF" w:val="clear"/>
            <w:vAlign w:val="center"/>
          </w:tcPr>
          <w:p>
            <w:pPr>
              <w:pStyle w:val="TableContents"/>
              <w:bidi w:val="0"/>
              <w:spacing w:before="0" w:after="283"/>
              <w:ind w:left="0" w:right="0" w:hanging="0"/>
              <w:jc w:val="left"/>
              <w:rPr/>
            </w:pPr>
            <w:r>
              <w:rPr/>
              <w:t> </w:t>
            </w:r>
          </w:p>
        </w:tc>
        <w:tc>
          <w:tcPr>
            <w:tcW w:w="1219"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Purchased</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49"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Share</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19" w:type="dxa"/>
            <w:gridSpan w:val="2"/>
            <w:tcBorders>
              <w:bottom w:val="single" w:sz="2" w:space="0" w:color="000000"/>
            </w:tcBorders>
            <w:shd w:fill="FFFFFF" w:val="clear"/>
            <w:tcMar>
              <w:bottom w:w="28" w:type="dxa"/>
            </w:tcMar>
            <w:vAlign w:val="center"/>
          </w:tcPr>
          <w:p>
            <w:pPr>
              <w:pStyle w:val="TableContents"/>
              <w:bidi w:val="0"/>
              <w:spacing w:lineRule="auto" w:line="288"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Programs(1)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324" w:type="dxa"/>
            <w:gridSpan w:val="2"/>
            <w:tcBorders>
              <w:bottom w:val="single" w:sz="2" w:space="0" w:color="000000"/>
            </w:tcBorders>
            <w:shd w:fill="FFFFFF" w:val="clear"/>
            <w:tcMar>
              <w:bottom w:w="28" w:type="dxa"/>
            </w:tcMar>
            <w:vAlign w:val="center"/>
          </w:tcPr>
          <w:p>
            <w:pPr>
              <w:pStyle w:val="TableContents"/>
              <w:bidi w:val="0"/>
              <w:spacing w:lineRule="auto" w:line="288"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Programs(1)</w:t>
            </w:r>
          </w:p>
        </w:tc>
        <w:tc>
          <w:tcPr>
            <w:tcW w:w="60" w:type="dxa"/>
            <w:tcBorders/>
            <w:shd w:fill="FFFFFF" w:val="clear"/>
            <w:vAlign w:val="center"/>
          </w:tcPr>
          <w:p>
            <w:pPr>
              <w:pStyle w:val="TableContents"/>
              <w:bidi w:val="0"/>
              <w:spacing w:before="0" w:after="283"/>
              <w:jc w:val="left"/>
              <w:rPr/>
            </w:pPr>
            <w:r>
              <w:rPr/>
              <w:t> </w:t>
            </w:r>
          </w:p>
        </w:tc>
      </w:tr>
      <w:tr>
        <w:trPr/>
        <w:tc>
          <w:tcPr>
            <w:tcW w:w="2795"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July 1 - July 31, 2025</w:t>
            </w:r>
          </w:p>
        </w:tc>
        <w:tc>
          <w:tcPr>
            <w:tcW w:w="60" w:type="dxa"/>
            <w:tcBorders/>
            <w:shd w:fill="CCEEFF" w:val="clear"/>
            <w:vAlign w:val="center"/>
          </w:tcPr>
          <w:p>
            <w:pPr>
              <w:pStyle w:val="TableContents"/>
              <w:bidi w:val="0"/>
              <w:spacing w:before="0" w:after="283"/>
              <w:jc w:val="left"/>
              <w:rPr/>
            </w:pPr>
            <w:r>
              <w:rPr/>
              <w:t> </w:t>
            </w:r>
          </w:p>
        </w:tc>
        <w:tc>
          <w:tcPr>
            <w:tcW w:w="228" w:type="dxa"/>
            <w:tcBorders/>
            <w:shd w:fill="CCEEFF" w:val="clear"/>
            <w:vAlign w:val="center"/>
          </w:tcPr>
          <w:p>
            <w:pPr>
              <w:pStyle w:val="TableContents"/>
              <w:bidi w:val="0"/>
              <w:spacing w:before="0" w:after="283"/>
              <w:ind w:left="0" w:right="0" w:hanging="0"/>
              <w:jc w:val="left"/>
              <w:rPr/>
            </w:pPr>
            <w:r>
              <w:rPr/>
              <w:t> </w:t>
            </w:r>
          </w:p>
        </w:tc>
        <w:tc>
          <w:tcPr>
            <w:tcW w:w="991" w:type="dxa"/>
            <w:tcBorders/>
            <w:shd w:fill="CCEEFF" w:val="cle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405"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844" w:type="dxa"/>
            <w:tcBorders/>
            <w:shd w:fill="CCEEFF" w:val="cle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28" w:type="dxa"/>
            <w:tcBorders/>
            <w:shd w:fill="CCEEFF" w:val="clear"/>
            <w:vAlign w:val="center"/>
          </w:tcPr>
          <w:p>
            <w:pPr>
              <w:pStyle w:val="TableContents"/>
              <w:bidi w:val="0"/>
              <w:spacing w:before="0" w:after="283"/>
              <w:ind w:left="0" w:right="0" w:hanging="0"/>
              <w:jc w:val="left"/>
              <w:rPr/>
            </w:pPr>
            <w:r>
              <w:rPr/>
              <w:t> </w:t>
            </w:r>
          </w:p>
        </w:tc>
        <w:tc>
          <w:tcPr>
            <w:tcW w:w="991" w:type="dxa"/>
            <w:tcBorders/>
            <w:shd w:fill="CCEEFF" w:val="cle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70"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1154"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3,514,370</w:t>
            </w:r>
          </w:p>
        </w:tc>
        <w:tc>
          <w:tcPr>
            <w:tcW w:w="60" w:type="dxa"/>
            <w:tcBorders/>
            <w:shd w:fill="CCEEFF" w:val="clear"/>
            <w:vAlign w:val="center"/>
          </w:tcPr>
          <w:p>
            <w:pPr>
              <w:pStyle w:val="TableContents"/>
              <w:bidi w:val="0"/>
              <w:spacing w:before="0" w:after="283"/>
              <w:jc w:val="left"/>
              <w:rPr/>
            </w:pPr>
            <w:r>
              <w:rPr/>
              <w:t> </w:t>
            </w:r>
          </w:p>
        </w:tc>
      </w:tr>
      <w:tr>
        <w:trPr/>
        <w:tc>
          <w:tcPr>
            <w:tcW w:w="2795"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August 1 - August 31, 2025</w:t>
            </w:r>
          </w:p>
        </w:tc>
        <w:tc>
          <w:tcPr>
            <w:tcW w:w="60" w:type="dxa"/>
            <w:tcBorders/>
            <w:shd w:fill="FFFFFF" w:val="clear"/>
            <w:vAlign w:val="center"/>
          </w:tcPr>
          <w:p>
            <w:pPr>
              <w:pStyle w:val="TableContents"/>
              <w:bidi w:val="0"/>
              <w:spacing w:before="0" w:after="283"/>
              <w:jc w:val="left"/>
              <w:rPr/>
            </w:pPr>
            <w:r>
              <w:rPr/>
              <w:t> </w:t>
            </w:r>
          </w:p>
        </w:tc>
        <w:tc>
          <w:tcPr>
            <w:tcW w:w="228" w:type="dxa"/>
            <w:tcBorders/>
            <w:shd w:fill="FFFFFF" w:val="clear"/>
            <w:vAlign w:val="center"/>
          </w:tcPr>
          <w:p>
            <w:pPr>
              <w:pStyle w:val="TableContents"/>
              <w:bidi w:val="0"/>
              <w:spacing w:before="0" w:after="283"/>
              <w:ind w:left="0" w:right="0" w:hanging="0"/>
              <w:jc w:val="left"/>
              <w:rPr/>
            </w:pPr>
            <w:r>
              <w:rPr/>
              <w:t> </w:t>
            </w:r>
          </w:p>
        </w:tc>
        <w:tc>
          <w:tcPr>
            <w:tcW w:w="991" w:type="dxa"/>
            <w:tcBorders/>
            <w:shd w:fill="FFFFFF" w:val="cle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405" w:type="dxa"/>
            <w:tcBorders/>
            <w:shd w:fill="FFFF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844" w:type="dxa"/>
            <w:tcBorders/>
            <w:shd w:fill="FFFFFF" w:val="cle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28" w:type="dxa"/>
            <w:tcBorders/>
            <w:shd w:fill="FFFFFF" w:val="clear"/>
            <w:vAlign w:val="center"/>
          </w:tcPr>
          <w:p>
            <w:pPr>
              <w:pStyle w:val="TableContents"/>
              <w:bidi w:val="0"/>
              <w:spacing w:before="0" w:after="283"/>
              <w:ind w:left="0" w:right="0" w:hanging="0"/>
              <w:jc w:val="left"/>
              <w:rPr/>
            </w:pPr>
            <w:r>
              <w:rPr/>
              <w:t> </w:t>
            </w:r>
          </w:p>
        </w:tc>
        <w:tc>
          <w:tcPr>
            <w:tcW w:w="991" w:type="dxa"/>
            <w:tcBorders/>
            <w:shd w:fill="FFFFFF" w:val="cle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70" w:type="dxa"/>
            <w:tcBorders/>
            <w:shd w:fill="FFFF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1154"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3,514,370</w:t>
            </w:r>
          </w:p>
        </w:tc>
        <w:tc>
          <w:tcPr>
            <w:tcW w:w="60" w:type="dxa"/>
            <w:tcBorders/>
            <w:shd w:fill="FFFFFF" w:val="clear"/>
            <w:vAlign w:val="center"/>
          </w:tcPr>
          <w:p>
            <w:pPr>
              <w:pStyle w:val="TableContents"/>
              <w:bidi w:val="0"/>
              <w:spacing w:before="0" w:after="283"/>
              <w:jc w:val="left"/>
              <w:rPr/>
            </w:pPr>
            <w:r>
              <w:rPr/>
              <w:t> </w:t>
            </w:r>
          </w:p>
        </w:tc>
      </w:tr>
      <w:tr>
        <w:trPr/>
        <w:tc>
          <w:tcPr>
            <w:tcW w:w="2795"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September 1 - September 30, 2025</w:t>
            </w:r>
          </w:p>
        </w:tc>
        <w:tc>
          <w:tcPr>
            <w:tcW w:w="60" w:type="dxa"/>
            <w:tcBorders/>
            <w:shd w:fill="CCEEFF" w:val="clear"/>
            <w:vAlign w:val="center"/>
          </w:tcPr>
          <w:p>
            <w:pPr>
              <w:pStyle w:val="TableContents"/>
              <w:bidi w:val="0"/>
              <w:spacing w:before="0" w:after="283"/>
              <w:jc w:val="left"/>
              <w:rPr/>
            </w:pPr>
            <w:r>
              <w:rPr/>
              <w:t> </w:t>
            </w:r>
          </w:p>
        </w:tc>
        <w:tc>
          <w:tcPr>
            <w:tcW w:w="228"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91"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40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844"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28"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91"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7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1154"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3,514,370</w:t>
            </w:r>
          </w:p>
        </w:tc>
        <w:tc>
          <w:tcPr>
            <w:tcW w:w="60" w:type="dxa"/>
            <w:tcBorders/>
            <w:shd w:fill="CCEEFF" w:val="clear"/>
            <w:vAlign w:val="center"/>
          </w:tcPr>
          <w:p>
            <w:pPr>
              <w:pStyle w:val="TableContents"/>
              <w:bidi w:val="0"/>
              <w:spacing w:before="0" w:after="283"/>
              <w:jc w:val="left"/>
              <w:rPr/>
            </w:pPr>
            <w:r>
              <w:rPr/>
              <w:t> </w:t>
            </w:r>
          </w:p>
        </w:tc>
      </w:tr>
      <w:tr>
        <w:trPr/>
        <w:tc>
          <w:tcPr>
            <w:tcW w:w="2795"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Total</w:t>
            </w:r>
          </w:p>
        </w:tc>
        <w:tc>
          <w:tcPr>
            <w:tcW w:w="60" w:type="dxa"/>
            <w:tcBorders/>
            <w:shd w:fill="FFFFFF" w:val="clear"/>
            <w:vAlign w:val="center"/>
          </w:tcPr>
          <w:p>
            <w:pPr>
              <w:pStyle w:val="TableContents"/>
              <w:bidi w:val="0"/>
              <w:spacing w:before="0" w:after="283"/>
              <w:jc w:val="left"/>
              <w:rPr/>
            </w:pPr>
            <w:r>
              <w:rPr/>
              <w:t> </w:t>
            </w:r>
          </w:p>
        </w:tc>
        <w:tc>
          <w:tcPr>
            <w:tcW w:w="228"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91"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40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844"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28"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91"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70"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1154"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lineRule="auto" w:line="288"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(1) On January 29, 2025, the Board of Directors of the Company authorized and approved an extension of the ongoing share repurchase program for up to $5.0 million of the currently outstanding shares of the Company’s common stock originally approved by the Board of Directors on April 26, 2023 and subsequently amended, subject to any future extension in the discretion of the Board of Directors of the Company, the repurchase program is now scheduled to expire on June 30, 2026, when a maximum of $5.0 million of the Company’s common stock has been repurchased, or when such program is discontinued by the Board of Directors. Under the stock repurchase program, shares may be repurchased from time to time in the open market or through negotiated transactions at prevailing market rates, or by other means in accordance with federal securities laws.  Repurchases are made at management’s discretion at prices management considers to be attractive and in the best interests of both the Company and its stockholders, subject to the availability of stock, general market conditions, the trading price of the stock, alternative uses for capital, and the Company’s financial performance. The repurchase program is funded using the Company’s working capital. The program does not obligate the Company to acquire a minimum amount of shares.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 w:hAnsi="Times New Roman"/>
          <w:b/>
          <w:caps w:val="false"/>
          <w:smallCaps w:val="false"/>
          <w:sz w:val="20"/>
        </w:rPr>
      </w:pPr>
      <w:bookmarkStart w:id="18" w:name="defaults"/>
      <w:bookmarkEnd w:id="18"/>
      <w:r>
        <w:rPr>
          <w:rFonts w:ascii="Times New Roman" w:hAnsi="Times New Roman"/>
          <w:b/>
          <w:caps w:val="false"/>
          <w:smallCaps w:val="false"/>
          <w:sz w:val="20"/>
        </w:rPr>
        <w:t>Item 3. Defaults Upon Senior Securities.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Not applicable.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caps w:val="false"/>
          <w:smallCaps w:val="false"/>
          <w:sz w:val="20"/>
        </w:rPr>
      </w:pPr>
      <w:bookmarkStart w:id="19" w:name="mine"/>
      <w:bookmarkEnd w:id="19"/>
      <w:r>
        <w:rPr>
          <w:rFonts w:ascii="Times New Roman" w:hAnsi="Times New Roman"/>
          <w:b/>
          <w:caps w:val="false"/>
          <w:smallCaps w:val="false"/>
          <w:sz w:val="20"/>
        </w:rPr>
        <w:t>Item 4. Mine Safety Disclosures.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Not applicable.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283"/>
        <w:jc w:val="left"/>
        <w:rPr/>
      </w:pPr>
      <w:r>
        <w:rPr/>
        <w:t xml:space="preserve">  </w:t>
      </w:r>
    </w:p>
    <w:p>
      <w:pPr>
        <w:pStyle w:val="TextBody"/>
        <w:bidi w:val="0"/>
        <w:spacing w:before="0" w:after="0"/>
        <w:ind w:left="0" w:right="0" w:hanging="0"/>
        <w:jc w:val="both"/>
        <w:rPr/>
      </w:pPr>
      <w:bookmarkStart w:id="20" w:name="otherinfo"/>
      <w:bookmarkEnd w:id="20"/>
      <w:r>
        <w:rPr>
          <w:rFonts w:ascii="Times New Roman" w:hAnsi="Times New Roman"/>
          <w:b/>
          <w:caps w:val="false"/>
          <w:smallCaps w:val="false"/>
          <w:sz w:val="20"/>
        </w:rPr>
        <w:t xml:space="preserve">Item </w:t>
      </w:r>
      <w:r>
        <w:rPr>
          <w:rStyle w:val="Emphasis"/>
          <w:rFonts w:ascii="Times New Roman" w:hAnsi="Times New Roman"/>
          <w:b/>
          <w:caps w:val="false"/>
          <w:smallCaps w:val="false"/>
          <w:sz w:val="20"/>
        </w:rPr>
        <w:t>5.</w:t>
      </w:r>
      <w:r>
        <w:rPr>
          <w:rFonts w:ascii="Times New Roman" w:hAnsi="Times New Roman"/>
          <w:b/>
          <w:caps w:val="false"/>
          <w:smallCaps w:val="false"/>
          <w:sz w:val="20"/>
        </w:rPr>
        <w:t xml:space="preserve"> Other Information.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i/>
          <w:caps w:val="false"/>
          <w:smallCaps w:val="false"/>
          <w:sz w:val="20"/>
        </w:rPr>
        <w:t xml:space="preserve">(c) Rule </w:t>
      </w:r>
      <w:r>
        <w:rPr>
          <w:rStyle w:val="Emphasis"/>
          <w:rFonts w:ascii="Times New Roman" w:hAnsi="Times New Roman"/>
          <w:i/>
          <w:caps w:val="false"/>
          <w:smallCaps w:val="false"/>
          <w:sz w:val="20"/>
        </w:rPr>
        <w:t>10b5</w:t>
      </w:r>
      <w:r>
        <w:rPr>
          <w:rFonts w:ascii="Times New Roman" w:hAnsi="Times New Roman"/>
          <w:i/>
          <w:caps w:val="false"/>
          <w:smallCaps w:val="false"/>
          <w:sz w:val="20"/>
        </w:rPr>
        <w:t>-</w:t>
      </w:r>
      <w:r>
        <w:rPr>
          <w:rStyle w:val="Emphasis"/>
          <w:rFonts w:ascii="Times New Roman" w:hAnsi="Times New Roman"/>
          <w:i/>
          <w:caps w:val="false"/>
          <w:smallCaps w:val="false"/>
          <w:sz w:val="20"/>
        </w:rPr>
        <w:t>1</w:t>
      </w:r>
      <w:r>
        <w:rPr>
          <w:rFonts w:ascii="Times New Roman" w:hAnsi="Times New Roman"/>
          <w:i/>
          <w:caps w:val="false"/>
          <w:smallCaps w:val="false"/>
          <w:sz w:val="20"/>
        </w:rPr>
        <w:t> Trading Plans.</w:t>
      </w:r>
      <w:r>
        <w:rPr>
          <w:rFonts w:ascii="Times New Roman" w:hAnsi="Times New Roman"/>
          <w:caps w:val="false"/>
          <w:smallCaps w:val="false"/>
          <w:sz w:val="20"/>
        </w:rPr>
        <w:t xml:space="preserve"> Our directors and executive officers </w:t>
      </w:r>
      <w:r>
        <w:rPr>
          <w:rStyle w:val="Emphasis"/>
          <w:rFonts w:ascii="Times New Roman" w:hAnsi="Times New Roman"/>
          <w:caps w:val="false"/>
          <w:smallCaps w:val="false"/>
          <w:sz w:val="20"/>
        </w:rPr>
        <w:t xml:space="preserve">may </w:t>
      </w:r>
      <w:r>
        <w:rPr>
          <w:rFonts w:ascii="Times New Roman" w:hAnsi="Times New Roman"/>
          <w:caps w:val="false"/>
          <w:smallCaps w:val="false"/>
          <w:sz w:val="20"/>
        </w:rPr>
        <w:t xml:space="preserve">from time to time enter into plans or other arrangements for the purchase or sale of our shares that are intended to satisfy the affirmative defense conditions of Rule </w:t>
      </w:r>
      <w:r>
        <w:rPr>
          <w:rStyle w:val="Emphasis"/>
          <w:rFonts w:ascii="Times New Roman" w:hAnsi="Times New Roman"/>
          <w:caps w:val="false"/>
          <w:smallCaps w:val="false"/>
          <w:sz w:val="20"/>
        </w:rPr>
        <w:t>10b5</w:t>
      </w:r>
      <w:r>
        <w:rPr>
          <w:rFonts w:ascii="Times New Roman" w:hAnsi="Times New Roman"/>
          <w:caps w:val="false"/>
          <w:smallCaps w:val="false"/>
          <w:sz w:val="20"/>
        </w:rPr>
        <w:t>-</w:t>
      </w:r>
      <w:r>
        <w:rPr>
          <w:rStyle w:val="Emphasis"/>
          <w:rFonts w:ascii="Times New Roman" w:hAnsi="Times New Roman"/>
          <w:caps w:val="false"/>
          <w:smallCaps w:val="false"/>
          <w:sz w:val="20"/>
        </w:rPr>
        <w:t>1</w:t>
      </w:r>
      <w:r>
        <w:rPr>
          <w:rFonts w:ascii="Times New Roman" w:hAnsi="Times New Roman"/>
          <w:caps w:val="false"/>
          <w:smallCaps w:val="false"/>
          <w:sz w:val="20"/>
        </w:rPr>
        <w:t xml:space="preserve">(c) or </w:t>
      </w:r>
      <w:r>
        <w:rPr>
          <w:rStyle w:val="Emphasis"/>
          <w:rFonts w:ascii="Times New Roman" w:hAnsi="Times New Roman"/>
          <w:caps w:val="false"/>
          <w:smallCaps w:val="false"/>
          <w:sz w:val="20"/>
        </w:rPr>
        <w:t xml:space="preserve">may </w:t>
      </w:r>
      <w:r>
        <w:rPr>
          <w:rFonts w:ascii="Times New Roman" w:hAnsi="Times New Roman"/>
          <w:caps w:val="false"/>
          <w:smallCaps w:val="false"/>
          <w:sz w:val="20"/>
        </w:rPr>
        <w:t xml:space="preserve">represent a non-Rule </w:t>
      </w:r>
      <w:r>
        <w:rPr>
          <w:rStyle w:val="Emphasis"/>
          <w:rFonts w:ascii="Times New Roman" w:hAnsi="Times New Roman"/>
          <w:caps w:val="false"/>
          <w:smallCaps w:val="false"/>
          <w:sz w:val="20"/>
        </w:rPr>
        <w:t>10b5</w:t>
      </w:r>
      <w:r>
        <w:rPr>
          <w:rFonts w:ascii="Times New Roman" w:hAnsi="Times New Roman"/>
          <w:caps w:val="false"/>
          <w:smallCaps w:val="false"/>
          <w:sz w:val="20"/>
        </w:rPr>
        <w:t>-</w:t>
      </w:r>
      <w:r>
        <w:rPr>
          <w:rStyle w:val="Emphasis"/>
          <w:rFonts w:ascii="Times New Roman" w:hAnsi="Times New Roman"/>
          <w:caps w:val="false"/>
          <w:smallCaps w:val="false"/>
          <w:sz w:val="20"/>
        </w:rPr>
        <w:t>1</w:t>
      </w:r>
      <w:r>
        <w:rPr>
          <w:rFonts w:ascii="Times New Roman" w:hAnsi="Times New Roman"/>
          <w:caps w:val="false"/>
          <w:smallCaps w:val="false"/>
          <w:sz w:val="20"/>
        </w:rPr>
        <w:t xml:space="preserve"> trading arrangement under the Exchange Act. During the quarter ended </w:t>
      </w:r>
      <w:r>
        <w:rPr>
          <w:rStyle w:val="Emphasis"/>
          <w:rFonts w:ascii="Times New Roman" w:hAnsi="Times New Roman"/>
          <w:caps w:val="false"/>
          <w:smallCaps w:val="false"/>
          <w:sz w:val="20"/>
        </w:rPr>
        <w:t>September 30, 2025</w:t>
      </w:r>
      <w:r>
        <w:rPr>
          <w:rFonts w:ascii="Times New Roman" w:hAnsi="Times New Roman"/>
          <w:caps w:val="false"/>
          <w:smallCaps w:val="false"/>
          <w:sz w:val="20"/>
        </w:rPr>
        <w:t xml:space="preserve">, none of the Company’s directors or officers (as defined in Rule </w:t>
      </w:r>
      <w:r>
        <w:rPr>
          <w:rStyle w:val="Emphasis"/>
          <w:rFonts w:ascii="Times New Roman" w:hAnsi="Times New Roman"/>
          <w:caps w:val="false"/>
          <w:smallCaps w:val="false"/>
          <w:sz w:val="20"/>
        </w:rPr>
        <w:t>16a</w:t>
      </w:r>
      <w:r>
        <w:rPr>
          <w:rFonts w:ascii="Times New Roman" w:hAnsi="Times New Roman"/>
          <w:caps w:val="false"/>
          <w:smallCaps w:val="false"/>
          <w:sz w:val="20"/>
        </w:rPr>
        <w:t>-</w:t>
      </w:r>
      <w:r>
        <w:rPr>
          <w:rStyle w:val="Emphasis"/>
          <w:rFonts w:ascii="Times New Roman" w:hAnsi="Times New Roman"/>
          <w:caps w:val="false"/>
          <w:smallCaps w:val="false"/>
          <w:sz w:val="20"/>
        </w:rPr>
        <w:t>1</w:t>
      </w:r>
      <w:r>
        <w:rPr>
          <w:rFonts w:ascii="Times New Roman" w:hAnsi="Times New Roman"/>
          <w:caps w:val="false"/>
          <w:smallCaps w:val="false"/>
          <w:sz w:val="20"/>
        </w:rPr>
        <w:t xml:space="preserve">(f)) adopted or terminated any contract, instruction or written plan for the purchase or sale of Company securities that was intended to satisfy the affirmative defense conditions of Rule </w:t>
      </w:r>
      <w:r>
        <w:rPr>
          <w:rStyle w:val="Emphasis"/>
          <w:rFonts w:ascii="Times New Roman" w:hAnsi="Times New Roman"/>
          <w:caps w:val="false"/>
          <w:smallCaps w:val="false"/>
          <w:sz w:val="20"/>
        </w:rPr>
        <w:t>10b5</w:t>
      </w:r>
      <w:r>
        <w:rPr>
          <w:rFonts w:ascii="Times New Roman" w:hAnsi="Times New Roman"/>
          <w:caps w:val="false"/>
          <w:smallCaps w:val="false"/>
          <w:sz w:val="20"/>
        </w:rPr>
        <w:t>-</w:t>
      </w:r>
      <w:r>
        <w:rPr>
          <w:rStyle w:val="Emphasis"/>
          <w:rFonts w:ascii="Times New Roman" w:hAnsi="Times New Roman"/>
          <w:caps w:val="false"/>
          <w:smallCaps w:val="false"/>
          <w:sz w:val="20"/>
        </w:rPr>
        <w:t>1</w:t>
      </w:r>
      <w:r>
        <w:rPr>
          <w:rFonts w:ascii="Times New Roman" w:hAnsi="Times New Roman"/>
          <w:caps w:val="false"/>
          <w:smallCaps w:val="false"/>
          <w:sz w:val="20"/>
        </w:rPr>
        <w:t xml:space="preserve">(c) or any “non-Rule </w:t>
      </w:r>
      <w:r>
        <w:rPr>
          <w:rStyle w:val="Emphasis"/>
          <w:rFonts w:ascii="Times New Roman" w:hAnsi="Times New Roman"/>
          <w:caps w:val="false"/>
          <w:smallCaps w:val="false"/>
          <w:sz w:val="20"/>
        </w:rPr>
        <w:t>10b5</w:t>
      </w:r>
      <w:r>
        <w:rPr>
          <w:rFonts w:ascii="Times New Roman" w:hAnsi="Times New Roman"/>
          <w:caps w:val="false"/>
          <w:smallCaps w:val="false"/>
          <w:sz w:val="20"/>
        </w:rPr>
        <w:t>-</w:t>
      </w:r>
      <w:r>
        <w:rPr>
          <w:rStyle w:val="Emphasis"/>
          <w:rFonts w:ascii="Times New Roman" w:hAnsi="Times New Roman"/>
          <w:caps w:val="false"/>
          <w:smallCaps w:val="false"/>
          <w:sz w:val="20"/>
        </w:rPr>
        <w:t>1</w:t>
      </w:r>
      <w:r>
        <w:rPr>
          <w:rFonts w:ascii="Times New Roman" w:hAnsi="Times New Roman"/>
          <w:caps w:val="false"/>
          <w:smallCaps w:val="false"/>
          <w:sz w:val="20"/>
        </w:rPr>
        <w:t xml:space="preserve"> trading arrangement.”</w:t>
      </w:r>
    </w:p>
    <w:p>
      <w:pPr>
        <w:pStyle w:val="TextBody"/>
        <w:bidi w:val="0"/>
        <w:spacing w:before="0" w:after="0"/>
        <w:ind w:left="160" w:right="0" w:hanging="0"/>
        <w:jc w:val="left"/>
        <w:rPr>
          <w:caps w:val="false"/>
          <w:smallCaps w:val="false"/>
        </w:rPr>
      </w:pPr>
      <w:r>
        <w:rPr>
          <w:caps w:val="false"/>
          <w:smallCaps w:val="false"/>
        </w:rPr>
        <w:t> </w:t>
      </w:r>
    </w:p>
    <w:p>
      <w:pPr>
        <w:pStyle w:val="TextBody"/>
        <w:bidi w:val="0"/>
        <w:spacing w:before="0" w:after="0"/>
        <w:jc w:val="center"/>
        <w:rPr/>
      </w:pPr>
      <w:r>
        <w:rPr>
          <w:rStyle w:val="Emphasis"/>
          <w:rFonts w:ascii="Times New Roman" w:hAnsi="Times New Roman"/>
          <w:sz w:val="20"/>
        </w:rPr>
        <w:t>29</w:t>
      </w:r>
      <w:r>
        <w:rPr>
          <w:rFonts w:ascii="Times New Roman" w:hAnsi="Times New Roman"/>
          <w:sz w:val="20"/>
        </w:rPr>
        <w:t xml:space="preserve">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0"/>
        <w:jc w:val="left"/>
        <w:rPr/>
      </w:pPr>
      <w:r>
        <w:rPr/>
        <w:t xml:space="preserve">  </w:t>
      </w:r>
    </w:p>
    <w:p>
      <w:pPr>
        <w:pStyle w:val="TextBody"/>
        <w:bidi w:val="0"/>
        <w:spacing w:before="0" w:after="283"/>
        <w:jc w:val="left"/>
        <w:rPr/>
      </w:pPr>
      <w:r>
        <w:rPr/>
        <w:t xml:space="preserve">  </w:t>
      </w:r>
    </w:p>
    <w:p>
      <w:pPr>
        <w:pStyle w:val="TextBody"/>
        <w:bidi w:val="0"/>
        <w:spacing w:before="0" w:after="0"/>
        <w:ind w:left="0" w:right="0" w:hanging="0"/>
        <w:jc w:val="both"/>
        <w:rPr>
          <w:rFonts w:ascii="Times New Roman" w:hAnsi="Times New Roman"/>
          <w:b/>
          <w:caps w:val="false"/>
          <w:smallCaps w:val="false"/>
          <w:sz w:val="20"/>
        </w:rPr>
      </w:pPr>
      <w:bookmarkStart w:id="21" w:name="exhibits"/>
      <w:bookmarkEnd w:id="21"/>
      <w:r>
        <w:rPr>
          <w:rFonts w:ascii="Times New Roman" w:hAnsi="Times New Roman"/>
          <w:b/>
          <w:caps w:val="false"/>
          <w:smallCaps w:val="false"/>
          <w:sz w:val="20"/>
        </w:rPr>
        <w:t>Item 6. Exhibits</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725"/>
        <w:gridCol w:w="60"/>
        <w:gridCol w:w="5523"/>
        <w:gridCol w:w="60"/>
        <w:gridCol w:w="500"/>
        <w:gridCol w:w="60"/>
        <w:gridCol w:w="719"/>
        <w:gridCol w:w="60"/>
        <w:gridCol w:w="650"/>
        <w:gridCol w:w="60"/>
        <w:gridCol w:w="660"/>
        <w:gridCol w:w="60"/>
        <w:gridCol w:w="1068"/>
      </w:tblGrid>
      <w:tr>
        <w:trPr/>
        <w:tc>
          <w:tcPr>
            <w:tcW w:w="725" w:type="dxa"/>
            <w:tcBorders>
              <w:bottom w:val="single" w:sz="2" w:space="0" w:color="000000"/>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Exhibit No.</w:t>
            </w:r>
          </w:p>
        </w:tc>
        <w:tc>
          <w:tcPr>
            <w:tcW w:w="60" w:type="dxa"/>
            <w:tcBorders/>
            <w:tcMar>
              <w:bottom w:w="0" w:type="dxa"/>
            </w:tcMar>
            <w:vAlign w:val="center"/>
          </w:tcPr>
          <w:p>
            <w:pPr>
              <w:pStyle w:val="TableContents"/>
              <w:bidi w:val="0"/>
              <w:spacing w:before="0" w:after="283"/>
              <w:jc w:val="left"/>
              <w:rPr/>
            </w:pPr>
            <w:r>
              <w:rPr/>
              <w:t> </w:t>
            </w:r>
          </w:p>
        </w:tc>
        <w:tc>
          <w:tcPr>
            <w:tcW w:w="5523" w:type="dxa"/>
            <w:tcBorders>
              <w:bottom w:val="single" w:sz="2" w:space="0" w:color="000000"/>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Description</w:t>
            </w:r>
          </w:p>
        </w:tc>
        <w:tc>
          <w:tcPr>
            <w:tcW w:w="60" w:type="dxa"/>
            <w:tcBorders/>
            <w:tcMar>
              <w:bottom w:w="0" w:type="dxa"/>
            </w:tcMar>
            <w:vAlign w:val="center"/>
          </w:tcPr>
          <w:p>
            <w:pPr>
              <w:pStyle w:val="TableContents"/>
              <w:bidi w:val="0"/>
              <w:spacing w:before="0" w:after="283"/>
              <w:jc w:val="left"/>
              <w:rPr/>
            </w:pPr>
            <w:r>
              <w:rPr/>
              <w:t> </w:t>
            </w:r>
          </w:p>
        </w:tc>
        <w:tc>
          <w:tcPr>
            <w:tcW w:w="500" w:type="dxa"/>
            <w:tcBorders>
              <w:bottom w:val="single" w:sz="2" w:space="0" w:color="000000"/>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Form</w:t>
            </w:r>
          </w:p>
        </w:tc>
        <w:tc>
          <w:tcPr>
            <w:tcW w:w="60" w:type="dxa"/>
            <w:tcBorders/>
            <w:tcMar>
              <w:bottom w:w="0" w:type="dxa"/>
            </w:tcMar>
            <w:vAlign w:val="center"/>
          </w:tcPr>
          <w:p>
            <w:pPr>
              <w:pStyle w:val="TableContents"/>
              <w:bidi w:val="0"/>
              <w:spacing w:before="0" w:after="283"/>
              <w:jc w:val="left"/>
              <w:rPr/>
            </w:pPr>
            <w:r>
              <w:rPr/>
              <w:t> </w:t>
            </w:r>
          </w:p>
        </w:tc>
        <w:tc>
          <w:tcPr>
            <w:tcW w:w="719" w:type="dxa"/>
            <w:tcBorders>
              <w:bottom w:val="single" w:sz="2" w:space="0" w:color="000000"/>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File No.</w:t>
            </w:r>
          </w:p>
        </w:tc>
        <w:tc>
          <w:tcPr>
            <w:tcW w:w="60" w:type="dxa"/>
            <w:tcBorders/>
            <w:tcMar>
              <w:bottom w:w="0" w:type="dxa"/>
            </w:tcMar>
            <w:vAlign w:val="center"/>
          </w:tcPr>
          <w:p>
            <w:pPr>
              <w:pStyle w:val="TableContents"/>
              <w:bidi w:val="0"/>
              <w:spacing w:before="0" w:after="283"/>
              <w:jc w:val="left"/>
              <w:rPr/>
            </w:pPr>
            <w:r>
              <w:rPr/>
              <w:t> </w:t>
            </w:r>
          </w:p>
        </w:tc>
        <w:tc>
          <w:tcPr>
            <w:tcW w:w="650" w:type="dxa"/>
            <w:tcBorders>
              <w:bottom w:val="single" w:sz="2" w:space="0" w:color="000000"/>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Exhibit</w:t>
            </w:r>
          </w:p>
        </w:tc>
        <w:tc>
          <w:tcPr>
            <w:tcW w:w="60" w:type="dxa"/>
            <w:tcBorders/>
            <w:tcMar>
              <w:bottom w:w="0" w:type="dxa"/>
            </w:tcMar>
            <w:vAlign w:val="center"/>
          </w:tcPr>
          <w:p>
            <w:pPr>
              <w:pStyle w:val="TableContents"/>
              <w:bidi w:val="0"/>
              <w:spacing w:before="0" w:after="283"/>
              <w:jc w:val="left"/>
              <w:rPr/>
            </w:pPr>
            <w:r>
              <w:rPr/>
              <w:t> </w:t>
            </w:r>
          </w:p>
        </w:tc>
        <w:tc>
          <w:tcPr>
            <w:tcW w:w="660" w:type="dxa"/>
            <w:tcBorders>
              <w:bottom w:val="single" w:sz="2" w:space="0" w:color="000000"/>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Filing Date</w:t>
            </w:r>
          </w:p>
        </w:tc>
        <w:tc>
          <w:tcPr>
            <w:tcW w:w="60" w:type="dxa"/>
            <w:tcBorders/>
            <w:tcMar>
              <w:bottom w:w="0" w:type="dxa"/>
            </w:tcMar>
            <w:vAlign w:val="center"/>
          </w:tcPr>
          <w:p>
            <w:pPr>
              <w:pStyle w:val="TableContents"/>
              <w:bidi w:val="0"/>
              <w:spacing w:before="0" w:after="283"/>
              <w:jc w:val="left"/>
              <w:rPr/>
            </w:pPr>
            <w:r>
              <w:rPr/>
              <w:t> </w:t>
            </w:r>
          </w:p>
        </w:tc>
        <w:tc>
          <w:tcPr>
            <w:tcW w:w="1068" w:type="dxa"/>
            <w:tcBorders>
              <w:bottom w:val="single" w:sz="2" w:space="0" w:color="000000"/>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 xml:space="preserve">Filed / </w:t>
            </w:r>
            <w:r>
              <w:rPr>
                <w:rFonts w:ascii="Times New Roman" w:hAnsi="Times New Roman"/>
                <w:caps w:val="false"/>
                <w:smallCaps w:val="false"/>
                <w:sz w:val="20"/>
              </w:rPr>
              <w:br/>
            </w:r>
            <w:r>
              <w:rPr>
                <w:rFonts w:ascii="Times New Roman" w:hAnsi="Times New Roman"/>
                <w:b/>
                <w:caps w:val="false"/>
                <w:smallCaps w:val="false"/>
                <w:sz w:val="20"/>
              </w:rPr>
              <w:t>Furnished Herewith</w:t>
            </w:r>
          </w:p>
        </w:tc>
      </w:tr>
      <w:tr>
        <w:trPr/>
        <w:tc>
          <w:tcPr>
            <w:tcW w:w="725" w:type="dxa"/>
            <w:tcBorders/>
            <w:tcMar>
              <w:bottom w:w="0" w:type="dxa"/>
            </w:tcMar>
            <w:vAlign w:val="center"/>
          </w:tcPr>
          <w:p>
            <w:pPr>
              <w:pStyle w:val="TableContents"/>
              <w:bidi w:val="0"/>
              <w:spacing w:before="0" w:after="283"/>
              <w:jc w:val="left"/>
              <w:rPr/>
            </w:pPr>
            <w:r>
              <w:rPr/>
              <w:t>10.1</w:t>
            </w:r>
          </w:p>
        </w:tc>
        <w:tc>
          <w:tcPr>
            <w:tcW w:w="60" w:type="dxa"/>
            <w:tcBorders/>
            <w:tcMar>
              <w:bottom w:w="0" w:type="dxa"/>
            </w:tcMar>
            <w:vAlign w:val="center"/>
          </w:tcPr>
          <w:p>
            <w:pPr>
              <w:pStyle w:val="TableContents"/>
              <w:bidi w:val="0"/>
              <w:spacing w:before="0" w:after="283"/>
              <w:jc w:val="left"/>
              <w:rPr/>
            </w:pPr>
            <w:r>
              <w:rPr/>
              <w:t> </w:t>
            </w:r>
          </w:p>
        </w:tc>
        <w:tc>
          <w:tcPr>
            <w:tcW w:w="5523" w:type="dxa"/>
            <w:tcBorders/>
            <w:tcMar>
              <w:bottom w:w="0" w:type="dxa"/>
            </w:tcMar>
            <w:vAlign w:val="center"/>
          </w:tcPr>
          <w:p>
            <w:pPr>
              <w:pStyle w:val="TableContents"/>
              <w:bidi w:val="0"/>
              <w:spacing w:before="0" w:after="283"/>
              <w:jc w:val="left"/>
              <w:rPr/>
            </w:pPr>
            <w:hyperlink r:id="rId3">
              <w:r>
                <w:rPr>
                  <w:rStyle w:val="InternetLink"/>
                </w:rPr>
                <w:t>Credit Agreement dated as of January 5, 2022, among U.S. Energy Corp., as borrower, Firstbank Southwest, as Administrative Agent and the Lenders party thereto</w:t>
              </w:r>
            </w:hyperlink>
          </w:p>
        </w:tc>
        <w:tc>
          <w:tcPr>
            <w:tcW w:w="60" w:type="dxa"/>
            <w:tcBorders/>
            <w:tcMar>
              <w:bottom w:w="0" w:type="dxa"/>
            </w:tcMar>
            <w:vAlign w:val="center"/>
          </w:tcPr>
          <w:p>
            <w:pPr>
              <w:pStyle w:val="TableContents"/>
              <w:bidi w:val="0"/>
              <w:spacing w:before="0" w:after="283"/>
              <w:jc w:val="left"/>
              <w:rPr/>
            </w:pPr>
            <w:r>
              <w:rPr/>
              <w:t> </w:t>
            </w:r>
          </w:p>
        </w:tc>
        <w:tc>
          <w:tcPr>
            <w:tcW w:w="500" w:type="dxa"/>
            <w:tcBorders/>
            <w:tcMar>
              <w:bottom w:w="0" w:type="dxa"/>
            </w:tcMar>
            <w:vAlign w:val="center"/>
          </w:tcPr>
          <w:p>
            <w:pPr>
              <w:pStyle w:val="TableContents"/>
              <w:bidi w:val="0"/>
              <w:spacing w:before="0" w:after="283"/>
              <w:jc w:val="left"/>
              <w:rPr/>
            </w:pPr>
            <w:r>
              <w:rPr/>
              <w:t>8-K</w:t>
            </w:r>
          </w:p>
        </w:tc>
        <w:tc>
          <w:tcPr>
            <w:tcW w:w="60" w:type="dxa"/>
            <w:tcBorders/>
            <w:tcMar>
              <w:bottom w:w="0" w:type="dxa"/>
            </w:tcMar>
            <w:vAlign w:val="center"/>
          </w:tcPr>
          <w:p>
            <w:pPr>
              <w:pStyle w:val="TableContents"/>
              <w:bidi w:val="0"/>
              <w:spacing w:before="0" w:after="283"/>
              <w:jc w:val="left"/>
              <w:rPr/>
            </w:pPr>
            <w:r>
              <w:rPr/>
              <w:t> </w:t>
            </w:r>
          </w:p>
        </w:tc>
        <w:tc>
          <w:tcPr>
            <w:tcW w:w="719" w:type="dxa"/>
            <w:tcBorders/>
            <w:tcMar>
              <w:bottom w:w="0" w:type="dxa"/>
            </w:tcMar>
            <w:vAlign w:val="center"/>
          </w:tcPr>
          <w:p>
            <w:pPr>
              <w:pStyle w:val="TableContents"/>
              <w:bidi w:val="0"/>
              <w:spacing w:before="0" w:after="283"/>
              <w:jc w:val="left"/>
              <w:rPr/>
            </w:pPr>
            <w:r>
              <w:rPr/>
              <w:t>000-06814</w:t>
            </w:r>
          </w:p>
        </w:tc>
        <w:tc>
          <w:tcPr>
            <w:tcW w:w="60" w:type="dxa"/>
            <w:tcBorders/>
            <w:tcMar>
              <w:bottom w:w="0" w:type="dxa"/>
            </w:tcMar>
            <w:vAlign w:val="center"/>
          </w:tcPr>
          <w:p>
            <w:pPr>
              <w:pStyle w:val="TableContents"/>
              <w:bidi w:val="0"/>
              <w:spacing w:before="0" w:after="283"/>
              <w:jc w:val="left"/>
              <w:rPr/>
            </w:pPr>
            <w:r>
              <w:rPr/>
              <w:t> </w:t>
            </w:r>
          </w:p>
        </w:tc>
        <w:tc>
          <w:tcPr>
            <w:tcW w:w="650" w:type="dxa"/>
            <w:tcBorders/>
            <w:tcMar>
              <w:bottom w:w="0" w:type="dxa"/>
            </w:tcMar>
            <w:vAlign w:val="center"/>
          </w:tcPr>
          <w:p>
            <w:pPr>
              <w:pStyle w:val="TableContents"/>
              <w:bidi w:val="0"/>
              <w:spacing w:before="0" w:after="283"/>
              <w:jc w:val="left"/>
              <w:rPr/>
            </w:pPr>
            <w:r>
              <w:rPr/>
              <w:t>10.6</w:t>
            </w:r>
          </w:p>
        </w:tc>
        <w:tc>
          <w:tcPr>
            <w:tcW w:w="60" w:type="dxa"/>
            <w:tcBorders/>
            <w:tcMar>
              <w:bottom w:w="0" w:type="dxa"/>
            </w:tcMar>
            <w:vAlign w:val="center"/>
          </w:tcPr>
          <w:p>
            <w:pPr>
              <w:pStyle w:val="TableContents"/>
              <w:bidi w:val="0"/>
              <w:spacing w:before="0" w:after="283"/>
              <w:jc w:val="left"/>
              <w:rPr/>
            </w:pPr>
            <w:r>
              <w:rPr/>
              <w:t> </w:t>
            </w:r>
          </w:p>
        </w:tc>
        <w:tc>
          <w:tcPr>
            <w:tcW w:w="660" w:type="dxa"/>
            <w:tcBorders/>
            <w:tcMar>
              <w:bottom w:w="0" w:type="dxa"/>
            </w:tcMar>
            <w:vAlign w:val="center"/>
          </w:tcPr>
          <w:p>
            <w:pPr>
              <w:pStyle w:val="TableContents"/>
              <w:bidi w:val="0"/>
              <w:spacing w:before="0" w:after="283"/>
              <w:jc w:val="left"/>
              <w:rPr/>
            </w:pPr>
            <w:r>
              <w:rPr/>
              <w:t>01/01/2022</w:t>
            </w:r>
          </w:p>
        </w:tc>
        <w:tc>
          <w:tcPr>
            <w:tcW w:w="60" w:type="dxa"/>
            <w:tcBorders/>
            <w:tcMar>
              <w:bottom w:w="0" w:type="dxa"/>
            </w:tcMar>
            <w:vAlign w:val="center"/>
          </w:tcPr>
          <w:p>
            <w:pPr>
              <w:pStyle w:val="TableContents"/>
              <w:bidi w:val="0"/>
              <w:spacing w:before="0" w:after="283"/>
              <w:jc w:val="left"/>
              <w:rPr/>
            </w:pPr>
            <w:r>
              <w:rPr/>
              <w:t> </w:t>
            </w:r>
          </w:p>
        </w:tc>
        <w:tc>
          <w:tcPr>
            <w:tcW w:w="1068" w:type="dxa"/>
            <w:tcBorders/>
            <w:tcMar>
              <w:bottom w:w="0" w:type="dxa"/>
            </w:tcMar>
            <w:vAlign w:val="center"/>
          </w:tcPr>
          <w:p>
            <w:pPr>
              <w:pStyle w:val="TableContents"/>
              <w:bidi w:val="0"/>
              <w:spacing w:before="0" w:after="283"/>
              <w:jc w:val="left"/>
              <w:rPr/>
            </w:pPr>
            <w:r>
              <w:rPr/>
              <w:t> </w:t>
            </w:r>
          </w:p>
        </w:tc>
      </w:tr>
      <w:tr>
        <w:trPr/>
        <w:tc>
          <w:tcPr>
            <w:tcW w:w="725" w:type="dxa"/>
            <w:tcBorders/>
            <w:tcMar>
              <w:bottom w:w="0" w:type="dxa"/>
            </w:tcMar>
            <w:vAlign w:val="center"/>
          </w:tcPr>
          <w:p>
            <w:pPr>
              <w:pStyle w:val="TableContents"/>
              <w:bidi w:val="0"/>
              <w:spacing w:before="0" w:after="283"/>
              <w:jc w:val="left"/>
              <w:rPr/>
            </w:pPr>
            <w:r>
              <w:rPr/>
              <w:t>10.2†</w:t>
            </w:r>
          </w:p>
        </w:tc>
        <w:tc>
          <w:tcPr>
            <w:tcW w:w="60" w:type="dxa"/>
            <w:tcBorders/>
            <w:tcMar>
              <w:bottom w:w="0" w:type="dxa"/>
            </w:tcMar>
            <w:vAlign w:val="center"/>
          </w:tcPr>
          <w:p>
            <w:pPr>
              <w:pStyle w:val="TableContents"/>
              <w:bidi w:val="0"/>
              <w:spacing w:before="0" w:after="283"/>
              <w:jc w:val="left"/>
              <w:rPr/>
            </w:pPr>
            <w:r>
              <w:rPr/>
              <w:t> </w:t>
            </w:r>
          </w:p>
        </w:tc>
        <w:tc>
          <w:tcPr>
            <w:tcW w:w="5523" w:type="dxa"/>
            <w:tcBorders/>
            <w:tcMar>
              <w:bottom w:w="0" w:type="dxa"/>
            </w:tcMar>
            <w:vAlign w:val="center"/>
          </w:tcPr>
          <w:p>
            <w:pPr>
              <w:pStyle w:val="TableContents"/>
              <w:bidi w:val="0"/>
              <w:spacing w:before="0" w:after="283"/>
              <w:jc w:val="left"/>
              <w:rPr/>
            </w:pPr>
            <w:hyperlink r:id="rId4">
              <w:r>
                <w:rPr>
                  <w:rStyle w:val="InternetLink"/>
                  <w:u w:val="single"/>
                </w:rPr>
                <w:t>First Amendment to Credit Agreement and Limited Waiver dated September 16, 2025, among U.S. Energy Corp., as borrower, Firstbank Southwest, as Administrative Agent and the Lenders party thereto</w:t>
              </w:r>
            </w:hyperlink>
          </w:p>
        </w:tc>
        <w:tc>
          <w:tcPr>
            <w:tcW w:w="60" w:type="dxa"/>
            <w:tcBorders/>
            <w:tcMar>
              <w:bottom w:w="0" w:type="dxa"/>
            </w:tcMar>
            <w:vAlign w:val="center"/>
          </w:tcPr>
          <w:p>
            <w:pPr>
              <w:pStyle w:val="TableContents"/>
              <w:bidi w:val="0"/>
              <w:spacing w:before="0" w:after="283"/>
              <w:jc w:val="left"/>
              <w:rPr/>
            </w:pPr>
            <w:r>
              <w:rPr/>
              <w:t> </w:t>
            </w:r>
          </w:p>
        </w:tc>
        <w:tc>
          <w:tcPr>
            <w:tcW w:w="500" w:type="dxa"/>
            <w:tcBorders/>
            <w:tcMar>
              <w:bottom w:w="0" w:type="dxa"/>
            </w:tcMar>
            <w:vAlign w:val="center"/>
          </w:tcPr>
          <w:p>
            <w:pPr>
              <w:pStyle w:val="TableContents"/>
              <w:bidi w:val="0"/>
              <w:spacing w:before="0" w:after="283"/>
              <w:jc w:val="left"/>
              <w:rPr/>
            </w:pPr>
            <w:r>
              <w:rPr/>
              <w:t>8-K</w:t>
            </w:r>
          </w:p>
        </w:tc>
        <w:tc>
          <w:tcPr>
            <w:tcW w:w="60" w:type="dxa"/>
            <w:tcBorders/>
            <w:tcMar>
              <w:bottom w:w="0" w:type="dxa"/>
            </w:tcMar>
            <w:vAlign w:val="center"/>
          </w:tcPr>
          <w:p>
            <w:pPr>
              <w:pStyle w:val="TableContents"/>
              <w:bidi w:val="0"/>
              <w:spacing w:before="0" w:after="283"/>
              <w:jc w:val="left"/>
              <w:rPr/>
            </w:pPr>
            <w:r>
              <w:rPr/>
              <w:t> </w:t>
            </w:r>
          </w:p>
        </w:tc>
        <w:tc>
          <w:tcPr>
            <w:tcW w:w="719" w:type="dxa"/>
            <w:tcBorders/>
            <w:tcMar>
              <w:bottom w:w="0" w:type="dxa"/>
            </w:tcMar>
            <w:vAlign w:val="center"/>
          </w:tcPr>
          <w:p>
            <w:pPr>
              <w:pStyle w:val="TableContents"/>
              <w:bidi w:val="0"/>
              <w:spacing w:before="0" w:after="283"/>
              <w:jc w:val="left"/>
              <w:rPr/>
            </w:pPr>
            <w:r>
              <w:rPr/>
              <w:t>000-06814</w:t>
            </w:r>
          </w:p>
        </w:tc>
        <w:tc>
          <w:tcPr>
            <w:tcW w:w="60" w:type="dxa"/>
            <w:tcBorders/>
            <w:tcMar>
              <w:bottom w:w="0" w:type="dxa"/>
            </w:tcMar>
            <w:vAlign w:val="center"/>
          </w:tcPr>
          <w:p>
            <w:pPr>
              <w:pStyle w:val="TableContents"/>
              <w:bidi w:val="0"/>
              <w:spacing w:before="0" w:after="283"/>
              <w:jc w:val="left"/>
              <w:rPr/>
            </w:pPr>
            <w:r>
              <w:rPr/>
              <w:t> </w:t>
            </w:r>
          </w:p>
        </w:tc>
        <w:tc>
          <w:tcPr>
            <w:tcW w:w="650" w:type="dxa"/>
            <w:tcBorders/>
            <w:tcMar>
              <w:bottom w:w="0" w:type="dxa"/>
            </w:tcMar>
            <w:vAlign w:val="center"/>
          </w:tcPr>
          <w:p>
            <w:pPr>
              <w:pStyle w:val="TableContents"/>
              <w:bidi w:val="0"/>
              <w:spacing w:before="0" w:after="283"/>
              <w:jc w:val="left"/>
              <w:rPr/>
            </w:pPr>
            <w:r>
              <w:rPr/>
              <w:t>10.3</w:t>
            </w:r>
          </w:p>
        </w:tc>
        <w:tc>
          <w:tcPr>
            <w:tcW w:w="60" w:type="dxa"/>
            <w:tcBorders/>
            <w:tcMar>
              <w:bottom w:w="0" w:type="dxa"/>
            </w:tcMar>
            <w:vAlign w:val="center"/>
          </w:tcPr>
          <w:p>
            <w:pPr>
              <w:pStyle w:val="TableContents"/>
              <w:bidi w:val="0"/>
              <w:spacing w:before="0" w:after="283"/>
              <w:jc w:val="left"/>
              <w:rPr/>
            </w:pPr>
            <w:r>
              <w:rPr/>
              <w:t> </w:t>
            </w:r>
          </w:p>
        </w:tc>
        <w:tc>
          <w:tcPr>
            <w:tcW w:w="660" w:type="dxa"/>
            <w:tcBorders/>
            <w:tcMar>
              <w:bottom w:w="0" w:type="dxa"/>
            </w:tcMar>
            <w:vAlign w:val="center"/>
          </w:tcPr>
          <w:p>
            <w:pPr>
              <w:pStyle w:val="TableContents"/>
              <w:bidi w:val="0"/>
              <w:spacing w:before="0" w:after="283"/>
              <w:jc w:val="left"/>
              <w:rPr/>
            </w:pPr>
            <w:r>
              <w:rPr/>
              <w:t>09/19/2025</w:t>
            </w:r>
          </w:p>
        </w:tc>
        <w:tc>
          <w:tcPr>
            <w:tcW w:w="60" w:type="dxa"/>
            <w:tcBorders/>
            <w:tcMar>
              <w:bottom w:w="0" w:type="dxa"/>
            </w:tcMar>
            <w:vAlign w:val="center"/>
          </w:tcPr>
          <w:p>
            <w:pPr>
              <w:pStyle w:val="TableContents"/>
              <w:bidi w:val="0"/>
              <w:spacing w:before="0" w:after="283"/>
              <w:jc w:val="left"/>
              <w:rPr/>
            </w:pPr>
            <w:r>
              <w:rPr/>
              <w:t> </w:t>
            </w:r>
          </w:p>
        </w:tc>
        <w:tc>
          <w:tcPr>
            <w:tcW w:w="1068" w:type="dxa"/>
            <w:tcBorders/>
            <w:tcMar>
              <w:bottom w:w="0" w:type="dxa"/>
            </w:tcMar>
            <w:vAlign w:val="center"/>
          </w:tcPr>
          <w:p>
            <w:pPr>
              <w:pStyle w:val="TableContents"/>
              <w:bidi w:val="0"/>
              <w:spacing w:before="0" w:after="283"/>
              <w:jc w:val="left"/>
              <w:rPr/>
            </w:pPr>
            <w:r>
              <w:rPr/>
              <w:t> </w:t>
            </w:r>
          </w:p>
        </w:tc>
      </w:tr>
      <w:tr>
        <w:trPr/>
        <w:tc>
          <w:tcPr>
            <w:tcW w:w="725" w:type="dxa"/>
            <w:tcBorders/>
            <w:tcMar>
              <w:bottom w:w="0" w:type="dxa"/>
            </w:tcMar>
            <w:vAlign w:val="center"/>
          </w:tcPr>
          <w:p>
            <w:pPr>
              <w:pStyle w:val="TableContents"/>
              <w:bidi w:val="0"/>
              <w:spacing w:before="0" w:after="283"/>
              <w:jc w:val="left"/>
              <w:rPr/>
            </w:pPr>
            <w:r>
              <w:rPr/>
              <w:t>10.3†</w:t>
            </w:r>
          </w:p>
        </w:tc>
        <w:tc>
          <w:tcPr>
            <w:tcW w:w="60" w:type="dxa"/>
            <w:tcBorders/>
            <w:tcMar>
              <w:bottom w:w="0" w:type="dxa"/>
            </w:tcMar>
            <w:vAlign w:val="center"/>
          </w:tcPr>
          <w:p>
            <w:pPr>
              <w:pStyle w:val="TableContents"/>
              <w:bidi w:val="0"/>
              <w:spacing w:before="0" w:after="283"/>
              <w:jc w:val="left"/>
              <w:rPr/>
            </w:pPr>
            <w:r>
              <w:rPr/>
              <w:t> </w:t>
            </w:r>
          </w:p>
        </w:tc>
        <w:tc>
          <w:tcPr>
            <w:tcW w:w="5523" w:type="dxa"/>
            <w:tcBorders/>
            <w:tcMar>
              <w:bottom w:w="0" w:type="dxa"/>
            </w:tcMar>
            <w:vAlign w:val="center"/>
          </w:tcPr>
          <w:p>
            <w:pPr>
              <w:pStyle w:val="TableContents"/>
              <w:bidi w:val="0"/>
              <w:spacing w:before="0" w:after="283"/>
              <w:jc w:val="left"/>
              <w:rPr/>
            </w:pPr>
            <w:hyperlink r:id="rId5">
              <w:r>
                <w:rPr>
                  <w:rStyle w:val="InternetLink"/>
                  <w:u w:val="single"/>
                </w:rPr>
                <w:t>Common Stock Purchase Agreement, dated as of October 9, 2025, by and between U.S. Energy Corp. and Roth Principal Investments, LLC</w:t>
              </w:r>
            </w:hyperlink>
          </w:p>
        </w:tc>
        <w:tc>
          <w:tcPr>
            <w:tcW w:w="60" w:type="dxa"/>
            <w:tcBorders/>
            <w:tcMar>
              <w:bottom w:w="0" w:type="dxa"/>
            </w:tcMar>
            <w:vAlign w:val="center"/>
          </w:tcPr>
          <w:p>
            <w:pPr>
              <w:pStyle w:val="TableContents"/>
              <w:bidi w:val="0"/>
              <w:spacing w:before="0" w:after="283"/>
              <w:jc w:val="left"/>
              <w:rPr/>
            </w:pPr>
            <w:r>
              <w:rPr/>
              <w:t> </w:t>
            </w:r>
          </w:p>
        </w:tc>
        <w:tc>
          <w:tcPr>
            <w:tcW w:w="500" w:type="dxa"/>
            <w:tcBorders/>
            <w:tcMar>
              <w:bottom w:w="0" w:type="dxa"/>
            </w:tcMar>
            <w:vAlign w:val="center"/>
          </w:tcPr>
          <w:p>
            <w:pPr>
              <w:pStyle w:val="TableContents"/>
              <w:bidi w:val="0"/>
              <w:spacing w:before="0" w:after="283"/>
              <w:jc w:val="left"/>
              <w:rPr/>
            </w:pPr>
            <w:r>
              <w:rPr/>
              <w:t>8-K</w:t>
            </w:r>
          </w:p>
        </w:tc>
        <w:tc>
          <w:tcPr>
            <w:tcW w:w="60" w:type="dxa"/>
            <w:tcBorders/>
            <w:tcMar>
              <w:bottom w:w="0" w:type="dxa"/>
            </w:tcMar>
            <w:vAlign w:val="center"/>
          </w:tcPr>
          <w:p>
            <w:pPr>
              <w:pStyle w:val="TableContents"/>
              <w:bidi w:val="0"/>
              <w:spacing w:before="0" w:after="283"/>
              <w:jc w:val="left"/>
              <w:rPr/>
            </w:pPr>
            <w:r>
              <w:rPr/>
              <w:t> </w:t>
            </w:r>
          </w:p>
        </w:tc>
        <w:tc>
          <w:tcPr>
            <w:tcW w:w="719" w:type="dxa"/>
            <w:tcBorders/>
            <w:tcMar>
              <w:bottom w:w="0" w:type="dxa"/>
            </w:tcMar>
            <w:vAlign w:val="center"/>
          </w:tcPr>
          <w:p>
            <w:pPr>
              <w:pStyle w:val="TableContents"/>
              <w:bidi w:val="0"/>
              <w:spacing w:before="0" w:after="283"/>
              <w:jc w:val="left"/>
              <w:rPr/>
            </w:pPr>
            <w:r>
              <w:rPr/>
              <w:t>000-06814</w:t>
            </w:r>
          </w:p>
        </w:tc>
        <w:tc>
          <w:tcPr>
            <w:tcW w:w="60" w:type="dxa"/>
            <w:tcBorders/>
            <w:tcMar>
              <w:bottom w:w="0" w:type="dxa"/>
            </w:tcMar>
            <w:vAlign w:val="center"/>
          </w:tcPr>
          <w:p>
            <w:pPr>
              <w:pStyle w:val="TableContents"/>
              <w:bidi w:val="0"/>
              <w:spacing w:before="0" w:after="283"/>
              <w:jc w:val="left"/>
              <w:rPr/>
            </w:pPr>
            <w:r>
              <w:rPr/>
              <w:t> </w:t>
            </w:r>
          </w:p>
        </w:tc>
        <w:tc>
          <w:tcPr>
            <w:tcW w:w="650" w:type="dxa"/>
            <w:tcBorders/>
            <w:tcMar>
              <w:bottom w:w="0" w:type="dxa"/>
            </w:tcMar>
            <w:vAlign w:val="center"/>
          </w:tcPr>
          <w:p>
            <w:pPr>
              <w:pStyle w:val="TableContents"/>
              <w:bidi w:val="0"/>
              <w:spacing w:before="0" w:after="283"/>
              <w:jc w:val="left"/>
              <w:rPr/>
            </w:pPr>
            <w:r>
              <w:rPr/>
              <w:t>10.1</w:t>
            </w:r>
          </w:p>
        </w:tc>
        <w:tc>
          <w:tcPr>
            <w:tcW w:w="60" w:type="dxa"/>
            <w:tcBorders/>
            <w:tcMar>
              <w:bottom w:w="0" w:type="dxa"/>
            </w:tcMar>
            <w:vAlign w:val="center"/>
          </w:tcPr>
          <w:p>
            <w:pPr>
              <w:pStyle w:val="TableContents"/>
              <w:bidi w:val="0"/>
              <w:spacing w:before="0" w:after="283"/>
              <w:jc w:val="left"/>
              <w:rPr/>
            </w:pPr>
            <w:r>
              <w:rPr/>
              <w:t> </w:t>
            </w:r>
          </w:p>
        </w:tc>
        <w:tc>
          <w:tcPr>
            <w:tcW w:w="660" w:type="dxa"/>
            <w:tcBorders/>
            <w:tcMar>
              <w:bottom w:w="0" w:type="dxa"/>
            </w:tcMar>
            <w:vAlign w:val="center"/>
          </w:tcPr>
          <w:p>
            <w:pPr>
              <w:pStyle w:val="TableContents"/>
              <w:bidi w:val="0"/>
              <w:spacing w:before="0" w:after="283"/>
              <w:jc w:val="left"/>
              <w:rPr/>
            </w:pPr>
            <w:r>
              <w:rPr/>
              <w:t>10/09/2025</w:t>
            </w:r>
          </w:p>
        </w:tc>
        <w:tc>
          <w:tcPr>
            <w:tcW w:w="60" w:type="dxa"/>
            <w:tcBorders/>
            <w:tcMar>
              <w:bottom w:w="0" w:type="dxa"/>
            </w:tcMar>
            <w:vAlign w:val="center"/>
          </w:tcPr>
          <w:p>
            <w:pPr>
              <w:pStyle w:val="TableContents"/>
              <w:bidi w:val="0"/>
              <w:spacing w:before="0" w:after="283"/>
              <w:jc w:val="left"/>
              <w:rPr/>
            </w:pPr>
            <w:r>
              <w:rPr/>
              <w:t> </w:t>
            </w:r>
          </w:p>
        </w:tc>
        <w:tc>
          <w:tcPr>
            <w:tcW w:w="1068" w:type="dxa"/>
            <w:tcBorders/>
            <w:tcMar>
              <w:bottom w:w="0" w:type="dxa"/>
            </w:tcMar>
            <w:vAlign w:val="center"/>
          </w:tcPr>
          <w:p>
            <w:pPr>
              <w:pStyle w:val="TableContents"/>
              <w:bidi w:val="0"/>
              <w:spacing w:before="0" w:after="283"/>
              <w:jc w:val="left"/>
              <w:rPr/>
            </w:pPr>
            <w:r>
              <w:rPr/>
              <w:t> </w:t>
            </w:r>
          </w:p>
        </w:tc>
      </w:tr>
      <w:tr>
        <w:trPr/>
        <w:tc>
          <w:tcPr>
            <w:tcW w:w="725" w:type="dxa"/>
            <w:tcBorders/>
            <w:tcMar>
              <w:bottom w:w="0" w:type="dxa"/>
            </w:tcMar>
            <w:vAlign w:val="center"/>
          </w:tcPr>
          <w:p>
            <w:pPr>
              <w:pStyle w:val="TableContents"/>
              <w:bidi w:val="0"/>
              <w:spacing w:before="0" w:after="283"/>
              <w:jc w:val="left"/>
              <w:rPr/>
            </w:pPr>
            <w:r>
              <w:rPr/>
              <w:t>10.4†</w:t>
            </w:r>
          </w:p>
        </w:tc>
        <w:tc>
          <w:tcPr>
            <w:tcW w:w="60" w:type="dxa"/>
            <w:tcBorders/>
            <w:tcMar>
              <w:bottom w:w="0" w:type="dxa"/>
            </w:tcMar>
            <w:vAlign w:val="center"/>
          </w:tcPr>
          <w:p>
            <w:pPr>
              <w:pStyle w:val="TableContents"/>
              <w:bidi w:val="0"/>
              <w:spacing w:before="0" w:after="283"/>
              <w:jc w:val="left"/>
              <w:rPr/>
            </w:pPr>
            <w:r>
              <w:rPr/>
              <w:t> </w:t>
            </w:r>
          </w:p>
        </w:tc>
        <w:tc>
          <w:tcPr>
            <w:tcW w:w="5523" w:type="dxa"/>
            <w:tcBorders/>
            <w:tcMar>
              <w:bottom w:w="0" w:type="dxa"/>
            </w:tcMar>
            <w:vAlign w:val="center"/>
          </w:tcPr>
          <w:p>
            <w:pPr>
              <w:pStyle w:val="TableContents"/>
              <w:bidi w:val="0"/>
              <w:spacing w:before="0" w:after="283"/>
              <w:jc w:val="left"/>
              <w:rPr/>
            </w:pPr>
            <w:hyperlink r:id="rId6">
              <w:r>
                <w:rPr>
                  <w:rStyle w:val="InternetLink"/>
                  <w:u w:val="single"/>
                </w:rPr>
                <w:t>Registration Rights Agreement, dated as of October 9, 2025, by and between U.S. Energy Corp. and Roth Principal Investments, LLC</w:t>
              </w:r>
            </w:hyperlink>
          </w:p>
        </w:tc>
        <w:tc>
          <w:tcPr>
            <w:tcW w:w="60" w:type="dxa"/>
            <w:tcBorders/>
            <w:tcMar>
              <w:bottom w:w="0" w:type="dxa"/>
            </w:tcMar>
            <w:vAlign w:val="center"/>
          </w:tcPr>
          <w:p>
            <w:pPr>
              <w:pStyle w:val="TableContents"/>
              <w:bidi w:val="0"/>
              <w:spacing w:before="0" w:after="283"/>
              <w:jc w:val="left"/>
              <w:rPr/>
            </w:pPr>
            <w:r>
              <w:rPr/>
              <w:t> </w:t>
            </w:r>
          </w:p>
        </w:tc>
        <w:tc>
          <w:tcPr>
            <w:tcW w:w="500" w:type="dxa"/>
            <w:tcBorders/>
            <w:tcMar>
              <w:bottom w:w="0" w:type="dxa"/>
            </w:tcMar>
            <w:vAlign w:val="center"/>
          </w:tcPr>
          <w:p>
            <w:pPr>
              <w:pStyle w:val="TableContents"/>
              <w:bidi w:val="0"/>
              <w:spacing w:before="0" w:after="283"/>
              <w:jc w:val="left"/>
              <w:rPr/>
            </w:pPr>
            <w:r>
              <w:rPr/>
              <w:t>8-K</w:t>
            </w:r>
          </w:p>
        </w:tc>
        <w:tc>
          <w:tcPr>
            <w:tcW w:w="60" w:type="dxa"/>
            <w:tcBorders/>
            <w:tcMar>
              <w:bottom w:w="0" w:type="dxa"/>
            </w:tcMar>
            <w:vAlign w:val="center"/>
          </w:tcPr>
          <w:p>
            <w:pPr>
              <w:pStyle w:val="TableContents"/>
              <w:bidi w:val="0"/>
              <w:spacing w:before="0" w:after="283"/>
              <w:jc w:val="left"/>
              <w:rPr/>
            </w:pPr>
            <w:r>
              <w:rPr/>
              <w:t> </w:t>
            </w:r>
          </w:p>
        </w:tc>
        <w:tc>
          <w:tcPr>
            <w:tcW w:w="719" w:type="dxa"/>
            <w:tcBorders/>
            <w:tcMar>
              <w:bottom w:w="0" w:type="dxa"/>
            </w:tcMar>
            <w:vAlign w:val="center"/>
          </w:tcPr>
          <w:p>
            <w:pPr>
              <w:pStyle w:val="TableContents"/>
              <w:bidi w:val="0"/>
              <w:spacing w:before="0" w:after="283"/>
              <w:jc w:val="left"/>
              <w:rPr/>
            </w:pPr>
            <w:r>
              <w:rPr/>
              <w:t>000-06814</w:t>
            </w:r>
          </w:p>
        </w:tc>
        <w:tc>
          <w:tcPr>
            <w:tcW w:w="60" w:type="dxa"/>
            <w:tcBorders/>
            <w:tcMar>
              <w:bottom w:w="0" w:type="dxa"/>
            </w:tcMar>
            <w:vAlign w:val="center"/>
          </w:tcPr>
          <w:p>
            <w:pPr>
              <w:pStyle w:val="TableContents"/>
              <w:bidi w:val="0"/>
              <w:spacing w:before="0" w:after="283"/>
              <w:jc w:val="left"/>
              <w:rPr/>
            </w:pPr>
            <w:r>
              <w:rPr/>
              <w:t> </w:t>
            </w:r>
          </w:p>
        </w:tc>
        <w:tc>
          <w:tcPr>
            <w:tcW w:w="650" w:type="dxa"/>
            <w:tcBorders/>
            <w:tcMar>
              <w:bottom w:w="0" w:type="dxa"/>
            </w:tcMar>
            <w:vAlign w:val="center"/>
          </w:tcPr>
          <w:p>
            <w:pPr>
              <w:pStyle w:val="TableContents"/>
              <w:bidi w:val="0"/>
              <w:spacing w:before="0" w:after="283"/>
              <w:jc w:val="left"/>
              <w:rPr/>
            </w:pPr>
            <w:r>
              <w:rPr/>
              <w:t>10.2</w:t>
            </w:r>
          </w:p>
        </w:tc>
        <w:tc>
          <w:tcPr>
            <w:tcW w:w="60" w:type="dxa"/>
            <w:tcBorders/>
            <w:tcMar>
              <w:bottom w:w="0" w:type="dxa"/>
            </w:tcMar>
            <w:vAlign w:val="center"/>
          </w:tcPr>
          <w:p>
            <w:pPr>
              <w:pStyle w:val="TableContents"/>
              <w:bidi w:val="0"/>
              <w:spacing w:before="0" w:after="283"/>
              <w:jc w:val="left"/>
              <w:rPr/>
            </w:pPr>
            <w:r>
              <w:rPr/>
              <w:t> </w:t>
            </w:r>
          </w:p>
        </w:tc>
        <w:tc>
          <w:tcPr>
            <w:tcW w:w="660" w:type="dxa"/>
            <w:tcBorders/>
            <w:tcMar>
              <w:bottom w:w="0" w:type="dxa"/>
            </w:tcMar>
            <w:vAlign w:val="center"/>
          </w:tcPr>
          <w:p>
            <w:pPr>
              <w:pStyle w:val="TableContents"/>
              <w:bidi w:val="0"/>
              <w:spacing w:before="0" w:after="283"/>
              <w:jc w:val="left"/>
              <w:rPr/>
            </w:pPr>
            <w:r>
              <w:rPr/>
              <w:t>10/09/2025</w:t>
            </w:r>
          </w:p>
        </w:tc>
        <w:tc>
          <w:tcPr>
            <w:tcW w:w="60" w:type="dxa"/>
            <w:tcBorders/>
            <w:tcMar>
              <w:bottom w:w="0" w:type="dxa"/>
            </w:tcMar>
            <w:vAlign w:val="center"/>
          </w:tcPr>
          <w:p>
            <w:pPr>
              <w:pStyle w:val="TableContents"/>
              <w:bidi w:val="0"/>
              <w:spacing w:before="0" w:after="283"/>
              <w:jc w:val="left"/>
              <w:rPr/>
            </w:pPr>
            <w:r>
              <w:rPr/>
              <w:t> </w:t>
            </w:r>
          </w:p>
        </w:tc>
        <w:tc>
          <w:tcPr>
            <w:tcW w:w="1068" w:type="dxa"/>
            <w:tcBorders/>
            <w:tcMar>
              <w:bottom w:w="0" w:type="dxa"/>
            </w:tcMar>
            <w:vAlign w:val="center"/>
          </w:tcPr>
          <w:p>
            <w:pPr>
              <w:pStyle w:val="TableContents"/>
              <w:bidi w:val="0"/>
              <w:spacing w:before="0" w:after="283"/>
              <w:jc w:val="left"/>
              <w:rPr/>
            </w:pPr>
            <w:r>
              <w:rPr/>
              <w:t> </w:t>
            </w:r>
          </w:p>
        </w:tc>
      </w:tr>
      <w:tr>
        <w:trPr/>
        <w:tc>
          <w:tcPr>
            <w:tcW w:w="725" w:type="dxa"/>
            <w:tcBorders/>
            <w:tcMar>
              <w:bottom w:w="0"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31.1*</w:t>
            </w:r>
          </w:p>
        </w:tc>
        <w:tc>
          <w:tcPr>
            <w:tcW w:w="60" w:type="dxa"/>
            <w:tcBorders/>
            <w:tcMar>
              <w:bottom w:w="0" w:type="dxa"/>
            </w:tcMar>
            <w:vAlign w:val="center"/>
          </w:tcPr>
          <w:p>
            <w:pPr>
              <w:pStyle w:val="TableContents"/>
              <w:bidi w:val="0"/>
              <w:spacing w:before="0" w:after="283"/>
              <w:jc w:val="left"/>
              <w:rPr/>
            </w:pPr>
            <w:r>
              <w:rPr/>
              <w:t> </w:t>
            </w:r>
          </w:p>
        </w:tc>
        <w:tc>
          <w:tcPr>
            <w:tcW w:w="5523" w:type="dxa"/>
            <w:tcBorders/>
            <w:tcMar>
              <w:bottom w:w="0" w:type="dxa"/>
            </w:tcMar>
            <w:vAlign w:val="center"/>
          </w:tcPr>
          <w:p>
            <w:pPr>
              <w:pStyle w:val="TableContents"/>
              <w:bidi w:val="0"/>
              <w:spacing w:before="0" w:after="0"/>
              <w:ind w:left="0" w:right="0" w:hanging="0"/>
              <w:jc w:val="left"/>
              <w:rPr/>
            </w:pPr>
            <w:hyperlink w:anchor="ex_856568.htm">
              <w:r>
                <w:rPr>
                  <w:rStyle w:val="InternetLink"/>
                  <w:rFonts w:ascii="Times New Roman" w:hAnsi="Times New Roman"/>
                  <w:caps w:val="false"/>
                  <w:smallCaps w:val="false"/>
                  <w:sz w:val="20"/>
                </w:rPr>
                <w:t>Certification of Chief Executive Officer pursuant to Section 302 of the Sarbanes – Oxley Act of 2002</w:t>
              </w:r>
            </w:hyperlink>
          </w:p>
        </w:tc>
        <w:tc>
          <w:tcPr>
            <w:tcW w:w="60" w:type="dxa"/>
            <w:tcBorders/>
            <w:tcMar>
              <w:bottom w:w="0" w:type="dxa"/>
            </w:tcMar>
            <w:vAlign w:val="center"/>
          </w:tcPr>
          <w:p>
            <w:pPr>
              <w:pStyle w:val="TableContents"/>
              <w:bidi w:val="0"/>
              <w:spacing w:before="0" w:after="283"/>
              <w:jc w:val="left"/>
              <w:rPr/>
            </w:pPr>
            <w:r>
              <w:rPr/>
              <w:t> </w:t>
            </w:r>
          </w:p>
        </w:tc>
        <w:tc>
          <w:tcPr>
            <w:tcW w:w="50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719"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65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6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068" w:type="dxa"/>
            <w:tcBorders/>
            <w:tcMar>
              <w:bottom w:w="0"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X</w:t>
            </w:r>
          </w:p>
        </w:tc>
      </w:tr>
      <w:tr>
        <w:trPr/>
        <w:tc>
          <w:tcPr>
            <w:tcW w:w="725" w:type="dxa"/>
            <w:tcBorders/>
            <w:tcMar>
              <w:bottom w:w="0"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31.2*</w:t>
            </w:r>
          </w:p>
        </w:tc>
        <w:tc>
          <w:tcPr>
            <w:tcW w:w="60" w:type="dxa"/>
            <w:tcBorders/>
            <w:tcMar>
              <w:bottom w:w="0" w:type="dxa"/>
            </w:tcMar>
            <w:vAlign w:val="center"/>
          </w:tcPr>
          <w:p>
            <w:pPr>
              <w:pStyle w:val="TableContents"/>
              <w:bidi w:val="0"/>
              <w:spacing w:before="0" w:after="283"/>
              <w:jc w:val="left"/>
              <w:rPr/>
            </w:pPr>
            <w:r>
              <w:rPr/>
              <w:t> </w:t>
            </w:r>
          </w:p>
        </w:tc>
        <w:tc>
          <w:tcPr>
            <w:tcW w:w="5523" w:type="dxa"/>
            <w:tcBorders/>
            <w:tcMar>
              <w:bottom w:w="0" w:type="dxa"/>
            </w:tcMar>
            <w:vAlign w:val="center"/>
          </w:tcPr>
          <w:p>
            <w:pPr>
              <w:pStyle w:val="TableContents"/>
              <w:bidi w:val="0"/>
              <w:spacing w:before="0" w:after="0"/>
              <w:ind w:left="0" w:right="0" w:hanging="0"/>
              <w:jc w:val="left"/>
              <w:rPr/>
            </w:pPr>
            <w:hyperlink w:anchor="ex_856569.htm">
              <w:r>
                <w:rPr>
                  <w:rStyle w:val="InternetLink"/>
                  <w:rFonts w:ascii="Times New Roman" w:hAnsi="Times New Roman"/>
                  <w:caps w:val="false"/>
                  <w:smallCaps w:val="false"/>
                  <w:sz w:val="20"/>
                </w:rPr>
                <w:t>Certification of Chief Financial Officer pursuant to Section 302 of the Sarbanes – Oxley Act of 2002</w:t>
              </w:r>
            </w:hyperlink>
          </w:p>
        </w:tc>
        <w:tc>
          <w:tcPr>
            <w:tcW w:w="60" w:type="dxa"/>
            <w:tcBorders/>
            <w:tcMar>
              <w:bottom w:w="0" w:type="dxa"/>
            </w:tcMar>
            <w:vAlign w:val="center"/>
          </w:tcPr>
          <w:p>
            <w:pPr>
              <w:pStyle w:val="TableContents"/>
              <w:bidi w:val="0"/>
              <w:spacing w:before="0" w:after="283"/>
              <w:jc w:val="left"/>
              <w:rPr/>
            </w:pPr>
            <w:r>
              <w:rPr/>
              <w:t> </w:t>
            </w:r>
          </w:p>
        </w:tc>
        <w:tc>
          <w:tcPr>
            <w:tcW w:w="50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719"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65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6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068" w:type="dxa"/>
            <w:tcBorders/>
            <w:tcMar>
              <w:bottom w:w="0"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X</w:t>
            </w:r>
          </w:p>
        </w:tc>
      </w:tr>
      <w:tr>
        <w:trPr/>
        <w:tc>
          <w:tcPr>
            <w:tcW w:w="725" w:type="dxa"/>
            <w:tcBorders/>
            <w:tcMar>
              <w:bottom w:w="0"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32.1♦</w:t>
            </w:r>
          </w:p>
        </w:tc>
        <w:tc>
          <w:tcPr>
            <w:tcW w:w="60" w:type="dxa"/>
            <w:tcBorders/>
            <w:tcMar>
              <w:bottom w:w="0" w:type="dxa"/>
            </w:tcMar>
            <w:vAlign w:val="center"/>
          </w:tcPr>
          <w:p>
            <w:pPr>
              <w:pStyle w:val="TableContents"/>
              <w:bidi w:val="0"/>
              <w:spacing w:before="0" w:after="283"/>
              <w:jc w:val="left"/>
              <w:rPr/>
            </w:pPr>
            <w:r>
              <w:rPr/>
              <w:t> </w:t>
            </w:r>
          </w:p>
        </w:tc>
        <w:tc>
          <w:tcPr>
            <w:tcW w:w="5523" w:type="dxa"/>
            <w:tcBorders/>
            <w:tcMar>
              <w:bottom w:w="0" w:type="dxa"/>
            </w:tcMar>
            <w:vAlign w:val="center"/>
          </w:tcPr>
          <w:p>
            <w:pPr>
              <w:pStyle w:val="TableContents"/>
              <w:bidi w:val="0"/>
              <w:spacing w:before="0" w:after="0"/>
              <w:ind w:left="0" w:right="0" w:hanging="0"/>
              <w:jc w:val="left"/>
              <w:rPr/>
            </w:pPr>
            <w:hyperlink w:anchor="ex_856570.htm">
              <w:r>
                <w:rPr>
                  <w:rStyle w:val="InternetLink"/>
                  <w:rFonts w:ascii="Times New Roman" w:hAnsi="Times New Roman"/>
                  <w:caps w:val="false"/>
                  <w:smallCaps w:val="false"/>
                  <w:sz w:val="20"/>
                </w:rPr>
                <w:t>Certification of Chief Executive Officer under Rule 13a-14(b)</w:t>
              </w:r>
            </w:hyperlink>
          </w:p>
        </w:tc>
        <w:tc>
          <w:tcPr>
            <w:tcW w:w="60" w:type="dxa"/>
            <w:tcBorders/>
            <w:tcMar>
              <w:bottom w:w="0" w:type="dxa"/>
            </w:tcMar>
            <w:vAlign w:val="center"/>
          </w:tcPr>
          <w:p>
            <w:pPr>
              <w:pStyle w:val="TableContents"/>
              <w:bidi w:val="0"/>
              <w:spacing w:before="0" w:after="283"/>
              <w:jc w:val="left"/>
              <w:rPr/>
            </w:pPr>
            <w:r>
              <w:rPr/>
              <w:t> </w:t>
            </w:r>
          </w:p>
        </w:tc>
        <w:tc>
          <w:tcPr>
            <w:tcW w:w="50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719"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65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6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068" w:type="dxa"/>
            <w:tcBorders/>
            <w:tcMar>
              <w:bottom w:w="0"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X</w:t>
            </w:r>
          </w:p>
        </w:tc>
      </w:tr>
      <w:tr>
        <w:trPr/>
        <w:tc>
          <w:tcPr>
            <w:tcW w:w="725" w:type="dxa"/>
            <w:tcBorders/>
            <w:tcMar>
              <w:bottom w:w="0"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32.2♦</w:t>
            </w:r>
          </w:p>
        </w:tc>
        <w:tc>
          <w:tcPr>
            <w:tcW w:w="60" w:type="dxa"/>
            <w:tcBorders/>
            <w:tcMar>
              <w:bottom w:w="0" w:type="dxa"/>
            </w:tcMar>
            <w:vAlign w:val="center"/>
          </w:tcPr>
          <w:p>
            <w:pPr>
              <w:pStyle w:val="TableContents"/>
              <w:bidi w:val="0"/>
              <w:spacing w:before="0" w:after="283"/>
              <w:jc w:val="left"/>
              <w:rPr/>
            </w:pPr>
            <w:r>
              <w:rPr/>
              <w:t> </w:t>
            </w:r>
          </w:p>
        </w:tc>
        <w:tc>
          <w:tcPr>
            <w:tcW w:w="5523" w:type="dxa"/>
            <w:tcBorders/>
            <w:tcMar>
              <w:bottom w:w="0" w:type="dxa"/>
            </w:tcMar>
            <w:vAlign w:val="center"/>
          </w:tcPr>
          <w:p>
            <w:pPr>
              <w:pStyle w:val="TableContents"/>
              <w:bidi w:val="0"/>
              <w:spacing w:before="0" w:after="0"/>
              <w:ind w:left="0" w:right="0" w:hanging="0"/>
              <w:jc w:val="left"/>
              <w:rPr/>
            </w:pPr>
            <w:hyperlink w:anchor="ex_856571.htm">
              <w:r>
                <w:rPr>
                  <w:rStyle w:val="InternetLink"/>
                  <w:rFonts w:ascii="Times New Roman" w:hAnsi="Times New Roman"/>
                  <w:caps w:val="false"/>
                  <w:smallCaps w:val="false"/>
                  <w:sz w:val="20"/>
                </w:rPr>
                <w:t>Certification of Chief Financial Officer under Rule 13a-14(b)</w:t>
              </w:r>
            </w:hyperlink>
          </w:p>
        </w:tc>
        <w:tc>
          <w:tcPr>
            <w:tcW w:w="60" w:type="dxa"/>
            <w:tcBorders/>
            <w:tcMar>
              <w:bottom w:w="0" w:type="dxa"/>
            </w:tcMar>
            <w:vAlign w:val="center"/>
          </w:tcPr>
          <w:p>
            <w:pPr>
              <w:pStyle w:val="TableContents"/>
              <w:bidi w:val="0"/>
              <w:spacing w:before="0" w:after="283"/>
              <w:jc w:val="left"/>
              <w:rPr/>
            </w:pPr>
            <w:r>
              <w:rPr/>
              <w:t> </w:t>
            </w:r>
          </w:p>
        </w:tc>
        <w:tc>
          <w:tcPr>
            <w:tcW w:w="50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719"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65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6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068" w:type="dxa"/>
            <w:tcBorders/>
            <w:tcMar>
              <w:bottom w:w="0"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X</w:t>
            </w:r>
          </w:p>
        </w:tc>
      </w:tr>
      <w:tr>
        <w:trPr/>
        <w:tc>
          <w:tcPr>
            <w:tcW w:w="725" w:type="dxa"/>
            <w:tcBorders/>
            <w:tcMar>
              <w:bottom w:w="0"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101.INS</w:t>
            </w:r>
          </w:p>
        </w:tc>
        <w:tc>
          <w:tcPr>
            <w:tcW w:w="60" w:type="dxa"/>
            <w:tcBorders/>
            <w:tcMar>
              <w:bottom w:w="0" w:type="dxa"/>
            </w:tcMar>
            <w:vAlign w:val="center"/>
          </w:tcPr>
          <w:p>
            <w:pPr>
              <w:pStyle w:val="TableContents"/>
              <w:bidi w:val="0"/>
              <w:spacing w:before="0" w:after="283"/>
              <w:jc w:val="left"/>
              <w:rPr/>
            </w:pPr>
            <w:r>
              <w:rPr/>
              <w:t> </w:t>
            </w:r>
          </w:p>
        </w:tc>
        <w:tc>
          <w:tcPr>
            <w:tcW w:w="5523" w:type="dxa"/>
            <w:tcBorders/>
            <w:tcMar>
              <w:bottom w:w="0"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Inline XBRL Instance Document - the instance document does not appear in the Interactive Data File because its XBRL tags are embedded within the Inline XBRL document</w:t>
            </w:r>
          </w:p>
        </w:tc>
        <w:tc>
          <w:tcPr>
            <w:tcW w:w="60" w:type="dxa"/>
            <w:tcBorders/>
            <w:tcMar>
              <w:bottom w:w="0" w:type="dxa"/>
            </w:tcMar>
            <w:vAlign w:val="center"/>
          </w:tcPr>
          <w:p>
            <w:pPr>
              <w:pStyle w:val="TableContents"/>
              <w:bidi w:val="0"/>
              <w:spacing w:before="0" w:after="283"/>
              <w:jc w:val="left"/>
              <w:rPr/>
            </w:pPr>
            <w:r>
              <w:rPr/>
              <w:t> </w:t>
            </w:r>
          </w:p>
        </w:tc>
        <w:tc>
          <w:tcPr>
            <w:tcW w:w="50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719"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65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6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068" w:type="dxa"/>
            <w:tcBorders/>
            <w:tcMar>
              <w:bottom w:w="0"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X</w:t>
            </w:r>
          </w:p>
        </w:tc>
      </w:tr>
      <w:tr>
        <w:trPr/>
        <w:tc>
          <w:tcPr>
            <w:tcW w:w="725" w:type="dxa"/>
            <w:tcBorders/>
            <w:tcMar>
              <w:bottom w:w="0"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101.SCH*</w:t>
            </w:r>
          </w:p>
        </w:tc>
        <w:tc>
          <w:tcPr>
            <w:tcW w:w="60" w:type="dxa"/>
            <w:tcBorders/>
            <w:tcMar>
              <w:bottom w:w="0" w:type="dxa"/>
            </w:tcMar>
            <w:vAlign w:val="center"/>
          </w:tcPr>
          <w:p>
            <w:pPr>
              <w:pStyle w:val="TableContents"/>
              <w:bidi w:val="0"/>
              <w:spacing w:before="0" w:after="283"/>
              <w:jc w:val="left"/>
              <w:rPr/>
            </w:pPr>
            <w:r>
              <w:rPr/>
              <w:t> </w:t>
            </w:r>
          </w:p>
        </w:tc>
        <w:tc>
          <w:tcPr>
            <w:tcW w:w="5523" w:type="dxa"/>
            <w:tcBorders/>
            <w:tcMar>
              <w:bottom w:w="0"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Inline XBRL Schema Document</w:t>
            </w:r>
          </w:p>
        </w:tc>
        <w:tc>
          <w:tcPr>
            <w:tcW w:w="60" w:type="dxa"/>
            <w:tcBorders/>
            <w:tcMar>
              <w:bottom w:w="0" w:type="dxa"/>
            </w:tcMar>
            <w:vAlign w:val="center"/>
          </w:tcPr>
          <w:p>
            <w:pPr>
              <w:pStyle w:val="TableContents"/>
              <w:bidi w:val="0"/>
              <w:spacing w:before="0" w:after="283"/>
              <w:jc w:val="left"/>
              <w:rPr/>
            </w:pPr>
            <w:r>
              <w:rPr/>
              <w:t> </w:t>
            </w:r>
          </w:p>
        </w:tc>
        <w:tc>
          <w:tcPr>
            <w:tcW w:w="50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719"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65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6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068" w:type="dxa"/>
            <w:tcBorders/>
            <w:tcMar>
              <w:bottom w:w="0"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X</w:t>
            </w:r>
          </w:p>
        </w:tc>
      </w:tr>
      <w:tr>
        <w:trPr/>
        <w:tc>
          <w:tcPr>
            <w:tcW w:w="725" w:type="dxa"/>
            <w:tcBorders/>
            <w:tcMar>
              <w:bottom w:w="0"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101.CAL*</w:t>
            </w:r>
          </w:p>
        </w:tc>
        <w:tc>
          <w:tcPr>
            <w:tcW w:w="60" w:type="dxa"/>
            <w:tcBorders/>
            <w:tcMar>
              <w:bottom w:w="0" w:type="dxa"/>
            </w:tcMar>
            <w:vAlign w:val="center"/>
          </w:tcPr>
          <w:p>
            <w:pPr>
              <w:pStyle w:val="TableContents"/>
              <w:bidi w:val="0"/>
              <w:spacing w:before="0" w:after="283"/>
              <w:jc w:val="left"/>
              <w:rPr/>
            </w:pPr>
            <w:r>
              <w:rPr/>
              <w:t> </w:t>
            </w:r>
          </w:p>
        </w:tc>
        <w:tc>
          <w:tcPr>
            <w:tcW w:w="5523" w:type="dxa"/>
            <w:tcBorders/>
            <w:tcMar>
              <w:bottom w:w="0"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Inline XBRL Calculation Linkbase Document</w:t>
            </w:r>
          </w:p>
        </w:tc>
        <w:tc>
          <w:tcPr>
            <w:tcW w:w="60" w:type="dxa"/>
            <w:tcBorders/>
            <w:tcMar>
              <w:bottom w:w="0" w:type="dxa"/>
            </w:tcMar>
            <w:vAlign w:val="center"/>
          </w:tcPr>
          <w:p>
            <w:pPr>
              <w:pStyle w:val="TableContents"/>
              <w:bidi w:val="0"/>
              <w:spacing w:before="0" w:after="283"/>
              <w:jc w:val="left"/>
              <w:rPr/>
            </w:pPr>
            <w:r>
              <w:rPr/>
              <w:t> </w:t>
            </w:r>
          </w:p>
        </w:tc>
        <w:tc>
          <w:tcPr>
            <w:tcW w:w="50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719"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65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6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068" w:type="dxa"/>
            <w:tcBorders/>
            <w:tcMar>
              <w:bottom w:w="0"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X</w:t>
            </w:r>
          </w:p>
        </w:tc>
      </w:tr>
      <w:tr>
        <w:trPr/>
        <w:tc>
          <w:tcPr>
            <w:tcW w:w="725" w:type="dxa"/>
            <w:tcBorders/>
            <w:tcMar>
              <w:bottom w:w="0"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101.DEF*</w:t>
            </w:r>
          </w:p>
        </w:tc>
        <w:tc>
          <w:tcPr>
            <w:tcW w:w="60" w:type="dxa"/>
            <w:tcBorders/>
            <w:tcMar>
              <w:bottom w:w="0" w:type="dxa"/>
            </w:tcMar>
            <w:vAlign w:val="center"/>
          </w:tcPr>
          <w:p>
            <w:pPr>
              <w:pStyle w:val="TableContents"/>
              <w:bidi w:val="0"/>
              <w:spacing w:before="0" w:after="283"/>
              <w:jc w:val="left"/>
              <w:rPr/>
            </w:pPr>
            <w:r>
              <w:rPr/>
              <w:t> </w:t>
            </w:r>
          </w:p>
        </w:tc>
        <w:tc>
          <w:tcPr>
            <w:tcW w:w="5523" w:type="dxa"/>
            <w:tcBorders/>
            <w:tcMar>
              <w:bottom w:w="0"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Inline XBRL Definition Linkbase Document</w:t>
            </w:r>
          </w:p>
        </w:tc>
        <w:tc>
          <w:tcPr>
            <w:tcW w:w="60" w:type="dxa"/>
            <w:tcBorders/>
            <w:tcMar>
              <w:bottom w:w="0" w:type="dxa"/>
            </w:tcMar>
            <w:vAlign w:val="center"/>
          </w:tcPr>
          <w:p>
            <w:pPr>
              <w:pStyle w:val="TableContents"/>
              <w:bidi w:val="0"/>
              <w:spacing w:before="0" w:after="283"/>
              <w:jc w:val="left"/>
              <w:rPr/>
            </w:pPr>
            <w:r>
              <w:rPr/>
              <w:t> </w:t>
            </w:r>
          </w:p>
        </w:tc>
        <w:tc>
          <w:tcPr>
            <w:tcW w:w="50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719"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65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6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068" w:type="dxa"/>
            <w:tcBorders/>
            <w:tcMar>
              <w:bottom w:w="0"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X</w:t>
            </w:r>
          </w:p>
        </w:tc>
      </w:tr>
      <w:tr>
        <w:trPr/>
        <w:tc>
          <w:tcPr>
            <w:tcW w:w="725" w:type="dxa"/>
            <w:tcBorders/>
            <w:tcMar>
              <w:bottom w:w="0"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101.LAB*</w:t>
            </w:r>
          </w:p>
        </w:tc>
        <w:tc>
          <w:tcPr>
            <w:tcW w:w="60" w:type="dxa"/>
            <w:tcBorders/>
            <w:tcMar>
              <w:bottom w:w="0" w:type="dxa"/>
            </w:tcMar>
            <w:vAlign w:val="center"/>
          </w:tcPr>
          <w:p>
            <w:pPr>
              <w:pStyle w:val="TableContents"/>
              <w:bidi w:val="0"/>
              <w:spacing w:before="0" w:after="283"/>
              <w:jc w:val="left"/>
              <w:rPr/>
            </w:pPr>
            <w:r>
              <w:rPr/>
              <w:t> </w:t>
            </w:r>
          </w:p>
        </w:tc>
        <w:tc>
          <w:tcPr>
            <w:tcW w:w="5523" w:type="dxa"/>
            <w:tcBorders/>
            <w:tcMar>
              <w:bottom w:w="0"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Inline XBRL Label Linkbase Document</w:t>
            </w:r>
          </w:p>
        </w:tc>
        <w:tc>
          <w:tcPr>
            <w:tcW w:w="60" w:type="dxa"/>
            <w:tcBorders/>
            <w:tcMar>
              <w:bottom w:w="0" w:type="dxa"/>
            </w:tcMar>
            <w:vAlign w:val="center"/>
          </w:tcPr>
          <w:p>
            <w:pPr>
              <w:pStyle w:val="TableContents"/>
              <w:bidi w:val="0"/>
              <w:spacing w:before="0" w:after="283"/>
              <w:jc w:val="left"/>
              <w:rPr/>
            </w:pPr>
            <w:r>
              <w:rPr/>
              <w:t> </w:t>
            </w:r>
          </w:p>
        </w:tc>
        <w:tc>
          <w:tcPr>
            <w:tcW w:w="50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719"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65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6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068" w:type="dxa"/>
            <w:tcBorders/>
            <w:tcMar>
              <w:bottom w:w="0"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X</w:t>
            </w:r>
          </w:p>
        </w:tc>
      </w:tr>
      <w:tr>
        <w:trPr/>
        <w:tc>
          <w:tcPr>
            <w:tcW w:w="725" w:type="dxa"/>
            <w:tcBorders/>
            <w:tcMar>
              <w:bottom w:w="0"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101.PRE*</w:t>
            </w:r>
          </w:p>
        </w:tc>
        <w:tc>
          <w:tcPr>
            <w:tcW w:w="60" w:type="dxa"/>
            <w:tcBorders/>
            <w:tcMar>
              <w:bottom w:w="0" w:type="dxa"/>
            </w:tcMar>
            <w:vAlign w:val="center"/>
          </w:tcPr>
          <w:p>
            <w:pPr>
              <w:pStyle w:val="TableContents"/>
              <w:bidi w:val="0"/>
              <w:spacing w:before="0" w:after="283"/>
              <w:jc w:val="left"/>
              <w:rPr/>
            </w:pPr>
            <w:r>
              <w:rPr/>
              <w:t> </w:t>
            </w:r>
          </w:p>
        </w:tc>
        <w:tc>
          <w:tcPr>
            <w:tcW w:w="5523" w:type="dxa"/>
            <w:tcBorders/>
            <w:tcMar>
              <w:bottom w:w="0"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Inline XBRL Presentation Linkbase Document</w:t>
            </w:r>
          </w:p>
        </w:tc>
        <w:tc>
          <w:tcPr>
            <w:tcW w:w="60" w:type="dxa"/>
            <w:tcBorders/>
            <w:tcMar>
              <w:bottom w:w="0" w:type="dxa"/>
            </w:tcMar>
            <w:vAlign w:val="center"/>
          </w:tcPr>
          <w:p>
            <w:pPr>
              <w:pStyle w:val="TableContents"/>
              <w:bidi w:val="0"/>
              <w:spacing w:before="0" w:after="283"/>
              <w:jc w:val="left"/>
              <w:rPr/>
            </w:pPr>
            <w:r>
              <w:rPr/>
              <w:t> </w:t>
            </w:r>
          </w:p>
        </w:tc>
        <w:tc>
          <w:tcPr>
            <w:tcW w:w="50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719"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65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6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068" w:type="dxa"/>
            <w:tcBorders/>
            <w:tcMar>
              <w:bottom w:w="0"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X</w:t>
            </w:r>
          </w:p>
        </w:tc>
      </w:tr>
      <w:tr>
        <w:trPr/>
        <w:tc>
          <w:tcPr>
            <w:tcW w:w="725" w:type="dxa"/>
            <w:tcBorders/>
            <w:tcMar>
              <w:bottom w:w="0"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104*</w:t>
            </w:r>
          </w:p>
        </w:tc>
        <w:tc>
          <w:tcPr>
            <w:tcW w:w="60" w:type="dxa"/>
            <w:tcBorders/>
            <w:tcMar>
              <w:bottom w:w="0" w:type="dxa"/>
            </w:tcMar>
            <w:vAlign w:val="center"/>
          </w:tcPr>
          <w:p>
            <w:pPr>
              <w:pStyle w:val="TableContents"/>
              <w:bidi w:val="0"/>
              <w:spacing w:before="0" w:after="283"/>
              <w:jc w:val="left"/>
              <w:rPr/>
            </w:pPr>
            <w:r>
              <w:rPr/>
              <w:t> </w:t>
            </w:r>
          </w:p>
        </w:tc>
        <w:tc>
          <w:tcPr>
            <w:tcW w:w="5523" w:type="dxa"/>
            <w:tcBorders/>
            <w:tcMar>
              <w:bottom w:w="0"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Inline XBRL for the cover page of this Quarterly Report on Form 10-Q, included in the Exhibit 101 Inline XBRL Document Set</w:t>
            </w:r>
          </w:p>
        </w:tc>
        <w:tc>
          <w:tcPr>
            <w:tcW w:w="60" w:type="dxa"/>
            <w:tcBorders/>
            <w:tcMar>
              <w:bottom w:w="0" w:type="dxa"/>
            </w:tcMar>
            <w:vAlign w:val="center"/>
          </w:tcPr>
          <w:p>
            <w:pPr>
              <w:pStyle w:val="TableContents"/>
              <w:bidi w:val="0"/>
              <w:spacing w:before="0" w:after="283"/>
              <w:jc w:val="left"/>
              <w:rPr/>
            </w:pPr>
            <w:r>
              <w:rPr/>
              <w:t> </w:t>
            </w:r>
          </w:p>
        </w:tc>
        <w:tc>
          <w:tcPr>
            <w:tcW w:w="50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719"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65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6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068" w:type="dxa"/>
            <w:tcBorders/>
            <w:tcMar>
              <w:bottom w:w="0"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X</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w:t>
            </w:r>
          </w:p>
        </w:tc>
        <w:tc>
          <w:tcPr>
            <w:tcW w:w="1006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Filed herewith.</w:t>
            </w:r>
          </w:p>
        </w:tc>
      </w:tr>
      <w:tr>
        <w:trPr/>
        <w:tc>
          <w:tcPr>
            <w:tcW w:w="140" w:type="dxa"/>
            <w:tcBorders/>
            <w:vAlign w:val="center"/>
          </w:tcPr>
          <w:p>
            <w:pPr>
              <w:pStyle w:val="TableContents"/>
              <w:bidi w:val="0"/>
              <w:spacing w:before="0" w:after="283"/>
              <w:jc w:val="left"/>
              <w:rPr/>
            </w:pPr>
            <w:r>
              <w:rPr/>
              <w:t> </w:t>
            </w:r>
          </w:p>
        </w:tc>
        <w:tc>
          <w:tcPr>
            <w:tcW w:w="10065" w:type="dxa"/>
            <w:tcBorders/>
            <w:vAlign w:val="center"/>
          </w:tcPr>
          <w:p>
            <w:pPr>
              <w:pStyle w:val="TableContents"/>
              <w:bidi w:val="0"/>
              <w:spacing w:before="0" w:after="0"/>
              <w:ind w:left="0" w:right="0" w:hanging="0"/>
              <w:jc w:val="left"/>
              <w:rPr/>
            </w:pPr>
            <w:r>
              <w:rPr/>
              <w:t> </w:t>
            </w:r>
          </w:p>
        </w:tc>
      </w:tr>
      <w:tr>
        <w:trPr/>
        <w:tc>
          <w:tcPr>
            <w:tcW w:w="14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1006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Certain schedules and exhibits have been omitted pursuant to Item 601(b)(5) of Regulation S-K. A copy of any omitted schedule or exhibit will be furnished supplementally to the Securities and Exchange Commission upon request; provided, however, that U.S. Energy Corp. may request confidential treatment pursuant to Rule 24b-2 of the Securities Exchange Act of 1934, as amended, for any schedule or exhibit so furnished.</w:t>
            </w:r>
          </w:p>
        </w:tc>
      </w:tr>
      <w:tr>
        <w:trPr/>
        <w:tc>
          <w:tcPr>
            <w:tcW w:w="140" w:type="dxa"/>
            <w:tcBorders/>
            <w:vAlign w:val="center"/>
          </w:tcPr>
          <w:p>
            <w:pPr>
              <w:pStyle w:val="TableContents"/>
              <w:bidi w:val="0"/>
              <w:spacing w:before="0" w:after="283"/>
              <w:jc w:val="left"/>
              <w:rPr/>
            </w:pPr>
            <w:r>
              <w:rPr/>
              <w:t> </w:t>
            </w:r>
          </w:p>
        </w:tc>
        <w:tc>
          <w:tcPr>
            <w:tcW w:w="10065" w:type="dxa"/>
            <w:tcBorders/>
            <w:vAlign w:val="center"/>
          </w:tcPr>
          <w:p>
            <w:pPr>
              <w:pStyle w:val="TableContents"/>
              <w:bidi w:val="0"/>
              <w:spacing w:before="0" w:after="0"/>
              <w:ind w:left="0" w:right="0" w:hanging="0"/>
              <w:jc w:val="left"/>
              <w:rPr/>
            </w:pPr>
            <w:r>
              <w:rPr/>
              <w:t> </w:t>
            </w:r>
          </w:p>
        </w:tc>
      </w:tr>
      <w:tr>
        <w:trPr/>
        <w:tc>
          <w:tcPr>
            <w:tcW w:w="14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1006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Furnished herewith.</w:t>
            </w:r>
          </w:p>
        </w:tc>
      </w:tr>
      <w:tr>
        <w:trPr/>
        <w:tc>
          <w:tcPr>
            <w:tcW w:w="140" w:type="dxa"/>
            <w:tcBorders/>
            <w:vAlign w:val="center"/>
          </w:tcPr>
          <w:p>
            <w:pPr>
              <w:pStyle w:val="TableContents"/>
              <w:bidi w:val="0"/>
              <w:spacing w:before="0" w:after="283"/>
              <w:jc w:val="left"/>
              <w:rPr/>
            </w:pPr>
            <w:r>
              <w:rPr/>
              <w:t> </w:t>
            </w:r>
          </w:p>
        </w:tc>
        <w:tc>
          <w:tcPr>
            <w:tcW w:w="1006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30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 w:hAnsi="Times New Roman"/>
          <w:b/>
          <w:caps w:val="false"/>
          <w:smallCaps w:val="false"/>
          <w:sz w:val="20"/>
        </w:rPr>
      </w:pPr>
      <w:bookmarkStart w:id="22" w:name="sigs"/>
      <w:bookmarkEnd w:id="22"/>
      <w:r>
        <w:rPr>
          <w:rFonts w:ascii="Times New Roman" w:hAnsi="Times New Roman"/>
          <w:b/>
          <w:caps w:val="false"/>
          <w:smallCaps w:val="false"/>
          <w:sz w:val="20"/>
        </w:rPr>
        <w:t>SIGNATURES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Pursuant to the requirements of Section 13 or 15(d) of the Securities Exchange Act of 1934, the Registrant has duly caused this report to be signed on its behalf by the undersigned, thereunto duly authorized.</w:t>
      </w:r>
    </w:p>
    <w:p>
      <w:pPr>
        <w:pStyle w:val="TextBody"/>
        <w:bidi w:val="0"/>
        <w:spacing w:before="0" w:after="0"/>
        <w:ind w:left="0" w:right="0" w:hanging="0"/>
        <w:jc w:val="left"/>
        <w:rPr>
          <w:caps w:val="false"/>
          <w:smallCaps w:val="false"/>
        </w:rPr>
      </w:pPr>
      <w:r>
        <w:rPr>
          <w:caps w:val="false"/>
          <w:smallCaps w:val="false"/>
        </w:rPr>
        <w:t> </w:t>
      </w:r>
    </w:p>
    <w:tbl>
      <w:tblPr>
        <w:tblW w:w="8055" w:type="dxa"/>
        <w:jc w:val="left"/>
        <w:tblInd w:w="0" w:type="dxa"/>
        <w:tblLayout w:type="fixed"/>
        <w:tblCellMar>
          <w:top w:w="0" w:type="dxa"/>
          <w:left w:w="0" w:type="dxa"/>
          <w:bottom w:w="0" w:type="dxa"/>
          <w:right w:w="0" w:type="dxa"/>
        </w:tblCellMar>
      </w:tblPr>
      <w:tblGrid>
        <w:gridCol w:w="2105"/>
        <w:gridCol w:w="410"/>
        <w:gridCol w:w="5540"/>
      </w:tblGrid>
      <w:tr>
        <w:trPr/>
        <w:tc>
          <w:tcPr>
            <w:tcW w:w="2105" w:type="dxa"/>
            <w:tcBorders/>
            <w:vAlign w:val="center"/>
          </w:tcPr>
          <w:p>
            <w:pPr>
              <w:pStyle w:val="TableContents"/>
              <w:bidi w:val="0"/>
              <w:spacing w:before="0" w:after="283"/>
              <w:jc w:val="left"/>
              <w:rPr/>
            </w:pPr>
            <w:r>
              <w:rPr/>
              <w:t> </w:t>
            </w:r>
          </w:p>
        </w:tc>
        <w:tc>
          <w:tcPr>
            <w:tcW w:w="5950" w:type="dxa"/>
            <w:gridSpan w:val="2"/>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U.S. ENERGY CORP.</w:t>
            </w:r>
          </w:p>
        </w:tc>
      </w:tr>
      <w:tr>
        <w:trPr/>
        <w:tc>
          <w:tcPr>
            <w:tcW w:w="2105" w:type="dxa"/>
            <w:tcBorders/>
            <w:vAlign w:val="center"/>
          </w:tcPr>
          <w:p>
            <w:pPr>
              <w:pStyle w:val="TableContents"/>
              <w:bidi w:val="0"/>
              <w:spacing w:before="0" w:after="283"/>
              <w:jc w:val="left"/>
              <w:rPr/>
            </w:pPr>
            <w:r>
              <w:rPr/>
              <w:t> </w:t>
            </w:r>
          </w:p>
        </w:tc>
        <w:tc>
          <w:tcPr>
            <w:tcW w:w="410" w:type="dxa"/>
            <w:tcBorders/>
            <w:vAlign w:val="center"/>
          </w:tcPr>
          <w:p>
            <w:pPr>
              <w:pStyle w:val="TableContents"/>
              <w:bidi w:val="0"/>
              <w:spacing w:before="0" w:after="283"/>
              <w:jc w:val="left"/>
              <w:rPr/>
            </w:pPr>
            <w:r>
              <w:rPr/>
              <w:t> </w:t>
            </w:r>
          </w:p>
        </w:tc>
        <w:tc>
          <w:tcPr>
            <w:tcW w:w="5540" w:type="dxa"/>
            <w:tcBorders/>
            <w:vAlign w:val="center"/>
          </w:tcPr>
          <w:p>
            <w:pPr>
              <w:pStyle w:val="TableContents"/>
              <w:bidi w:val="0"/>
              <w:spacing w:before="0" w:after="283"/>
              <w:jc w:val="left"/>
              <w:rPr/>
            </w:pPr>
            <w:r>
              <w:rPr/>
              <w:t> </w:t>
            </w:r>
          </w:p>
        </w:tc>
      </w:tr>
      <w:tr>
        <w:trPr/>
        <w:tc>
          <w:tcPr>
            <w:tcW w:w="210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Date: November 12, 2025</w:t>
            </w:r>
          </w:p>
        </w:tc>
        <w:tc>
          <w:tcPr>
            <w:tcW w:w="41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By:  </w:t>
            </w:r>
          </w:p>
        </w:tc>
        <w:tc>
          <w:tcPr>
            <w:tcW w:w="5540"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 w:hAnsi="Times New Roman"/>
                <w:i/>
                <w:caps w:val="false"/>
                <w:smallCaps w:val="false"/>
                <w:sz w:val="20"/>
              </w:rPr>
            </w:pPr>
            <w:r>
              <w:rPr>
                <w:rFonts w:ascii="Times New Roman" w:hAnsi="Times New Roman"/>
                <w:i/>
                <w:caps w:val="false"/>
                <w:smallCaps w:val="false"/>
                <w:sz w:val="20"/>
              </w:rPr>
              <w:t>/s/ Ryan L. Smith</w:t>
            </w:r>
          </w:p>
        </w:tc>
      </w:tr>
      <w:tr>
        <w:trPr/>
        <w:tc>
          <w:tcPr>
            <w:tcW w:w="2105" w:type="dxa"/>
            <w:tcBorders/>
            <w:vAlign w:val="center"/>
          </w:tcPr>
          <w:p>
            <w:pPr>
              <w:pStyle w:val="TableContents"/>
              <w:bidi w:val="0"/>
              <w:spacing w:before="0" w:after="283"/>
              <w:jc w:val="left"/>
              <w:rPr/>
            </w:pPr>
            <w:r>
              <w:rPr/>
              <w:t> </w:t>
            </w:r>
          </w:p>
        </w:tc>
        <w:tc>
          <w:tcPr>
            <w:tcW w:w="410" w:type="dxa"/>
            <w:tcBorders/>
            <w:vAlign w:val="center"/>
          </w:tcPr>
          <w:p>
            <w:pPr>
              <w:pStyle w:val="TableContents"/>
              <w:bidi w:val="0"/>
              <w:spacing w:before="0" w:after="283"/>
              <w:jc w:val="left"/>
              <w:rPr/>
            </w:pPr>
            <w:r>
              <w:rPr/>
              <w:t> </w:t>
            </w:r>
          </w:p>
        </w:tc>
        <w:tc>
          <w:tcPr>
            <w:tcW w:w="554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RYAN L. SMITH,</w:t>
            </w:r>
          </w:p>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Chief Executive Officer (Principal Executive Officer)</w:t>
            </w:r>
          </w:p>
        </w:tc>
      </w:tr>
      <w:tr>
        <w:trPr/>
        <w:tc>
          <w:tcPr>
            <w:tcW w:w="2105" w:type="dxa"/>
            <w:tcBorders/>
            <w:vAlign w:val="center"/>
          </w:tcPr>
          <w:p>
            <w:pPr>
              <w:pStyle w:val="TableContents"/>
              <w:bidi w:val="0"/>
              <w:spacing w:before="0" w:after="283"/>
              <w:jc w:val="left"/>
              <w:rPr/>
            </w:pPr>
            <w:r>
              <w:rPr/>
              <w:t> </w:t>
            </w:r>
          </w:p>
        </w:tc>
        <w:tc>
          <w:tcPr>
            <w:tcW w:w="410" w:type="dxa"/>
            <w:tcBorders/>
            <w:vAlign w:val="center"/>
          </w:tcPr>
          <w:p>
            <w:pPr>
              <w:pStyle w:val="TableContents"/>
              <w:bidi w:val="0"/>
              <w:spacing w:before="0" w:after="283"/>
              <w:jc w:val="left"/>
              <w:rPr/>
            </w:pPr>
            <w:r>
              <w:rPr/>
              <w:t> </w:t>
            </w:r>
          </w:p>
        </w:tc>
        <w:tc>
          <w:tcPr>
            <w:tcW w:w="5540" w:type="dxa"/>
            <w:tcBorders/>
            <w:vAlign w:val="center"/>
          </w:tcPr>
          <w:p>
            <w:pPr>
              <w:pStyle w:val="TableContents"/>
              <w:bidi w:val="0"/>
              <w:spacing w:before="0" w:after="283"/>
              <w:jc w:val="left"/>
              <w:rPr/>
            </w:pPr>
            <w:r>
              <w:rPr/>
              <w:t> </w:t>
            </w:r>
          </w:p>
        </w:tc>
      </w:tr>
      <w:tr>
        <w:trPr/>
        <w:tc>
          <w:tcPr>
            <w:tcW w:w="210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Date: November 12, 2025</w:t>
            </w:r>
          </w:p>
        </w:tc>
        <w:tc>
          <w:tcPr>
            <w:tcW w:w="41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By:</w:t>
            </w:r>
          </w:p>
        </w:tc>
        <w:tc>
          <w:tcPr>
            <w:tcW w:w="5540"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 w:hAnsi="Times New Roman"/>
                <w:i/>
                <w:caps w:val="false"/>
                <w:smallCaps w:val="false"/>
                <w:sz w:val="20"/>
              </w:rPr>
            </w:pPr>
            <w:r>
              <w:rPr>
                <w:rFonts w:ascii="Times New Roman" w:hAnsi="Times New Roman"/>
                <w:i/>
                <w:caps w:val="false"/>
                <w:smallCaps w:val="false"/>
                <w:sz w:val="20"/>
              </w:rPr>
              <w:t>/s/ Mark L. Zajac</w:t>
            </w:r>
          </w:p>
        </w:tc>
      </w:tr>
      <w:tr>
        <w:trPr/>
        <w:tc>
          <w:tcPr>
            <w:tcW w:w="2105" w:type="dxa"/>
            <w:tcBorders/>
            <w:vAlign w:val="center"/>
          </w:tcPr>
          <w:p>
            <w:pPr>
              <w:pStyle w:val="TableContents"/>
              <w:bidi w:val="0"/>
              <w:spacing w:before="0" w:after="283"/>
              <w:jc w:val="left"/>
              <w:rPr/>
            </w:pPr>
            <w:r>
              <w:rPr/>
              <w:t> </w:t>
            </w:r>
          </w:p>
        </w:tc>
        <w:tc>
          <w:tcPr>
            <w:tcW w:w="410" w:type="dxa"/>
            <w:tcBorders/>
            <w:vAlign w:val="center"/>
          </w:tcPr>
          <w:p>
            <w:pPr>
              <w:pStyle w:val="TableContents"/>
              <w:bidi w:val="0"/>
              <w:spacing w:before="0" w:after="283"/>
              <w:jc w:val="left"/>
              <w:rPr/>
            </w:pPr>
            <w:r>
              <w:rPr/>
              <w:t> </w:t>
            </w:r>
          </w:p>
        </w:tc>
        <w:tc>
          <w:tcPr>
            <w:tcW w:w="554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MARK L. ZAJAC,</w:t>
            </w:r>
          </w:p>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Chief Financial Officer (Principal Financial and Accounting Officer)</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jc w:val="center"/>
        <w:rPr>
          <w:rFonts w:ascii="Times New Roman" w:hAnsi="Times New Roman"/>
          <w:sz w:val="20"/>
        </w:rPr>
      </w:pPr>
      <w:r>
        <w:rPr>
          <w:rFonts w:ascii="Times New Roman" w:hAnsi="Times New Roman"/>
          <w:sz w:val="20"/>
        </w:rPr>
        <w:t xml:space="preserve">31 </w:t>
      </w:r>
    </w:p>
    <w:p>
      <w:pPr>
        <w:pStyle w:val="TextBody"/>
        <w:bidi w:val="0"/>
        <w:spacing w:before="0" w:after="0"/>
        <w:ind w:left="0" w:right="0" w:hanging="0"/>
        <w:jc w:val="right"/>
        <w:rPr>
          <w:rFonts w:ascii="Times New Roman" w:hAnsi="Times New Roman"/>
          <w:b/>
          <w:caps w:val="false"/>
          <w:smallCaps w:val="false"/>
          <w:sz w:val="20"/>
        </w:rPr>
      </w:pPr>
      <w:bookmarkStart w:id="23" w:name="ex_856568.htm"/>
      <w:bookmarkStart w:id="24" w:name="ksex_856568"/>
      <w:bookmarkEnd w:id="23"/>
      <w:bookmarkEnd w:id="24"/>
      <w:r>
        <w:rPr>
          <w:rFonts w:ascii="Times New Roman" w:hAnsi="Times New Roman"/>
          <w:b/>
          <w:caps w:val="false"/>
          <w:smallCaps w:val="false"/>
          <w:sz w:val="20"/>
        </w:rPr>
        <w:t>Exhibit 31.1</w:t>
      </w:r>
      <w:r>
        <w:br w:type="page"/>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CERTIFICATION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I, Ryan L. Smith, certify that:</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39"/>
        <w:gridCol w:w="203"/>
        <w:gridCol w:w="9863"/>
      </w:tblGrid>
      <w:tr>
        <w:trPr/>
        <w:tc>
          <w:tcPr>
            <w:tcW w:w="139"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1.</w:t>
            </w:r>
          </w:p>
        </w:tc>
        <w:tc>
          <w:tcPr>
            <w:tcW w:w="10066" w:type="dxa"/>
            <w:gridSpan w:val="2"/>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I have reviewed this Quarterly Report on Form 10-Q of U.S. Energy Corp.;</w:t>
            </w:r>
          </w:p>
        </w:tc>
      </w:tr>
      <w:tr>
        <w:trPr/>
        <w:tc>
          <w:tcPr>
            <w:tcW w:w="139" w:type="dxa"/>
            <w:tcBorders/>
            <w:vAlign w:val="center"/>
          </w:tcPr>
          <w:p>
            <w:pPr>
              <w:pStyle w:val="TableContents"/>
              <w:bidi w:val="0"/>
              <w:spacing w:before="0" w:after="283"/>
              <w:jc w:val="left"/>
              <w:rPr/>
            </w:pPr>
            <w:r>
              <w:rPr/>
              <w:t> </w:t>
            </w:r>
          </w:p>
        </w:tc>
        <w:tc>
          <w:tcPr>
            <w:tcW w:w="10066" w:type="dxa"/>
            <w:gridSpan w:val="2"/>
            <w:tcBorders/>
            <w:vAlign w:val="center"/>
          </w:tcPr>
          <w:p>
            <w:pPr>
              <w:pStyle w:val="TableContents"/>
              <w:bidi w:val="0"/>
              <w:spacing w:before="0" w:after="283"/>
              <w:jc w:val="left"/>
              <w:rPr/>
            </w:pPr>
            <w:r>
              <w:rPr/>
              <w:t> </w:t>
            </w:r>
          </w:p>
        </w:tc>
      </w:tr>
      <w:tr>
        <w:trPr/>
        <w:tc>
          <w:tcPr>
            <w:tcW w:w="139"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2.</w:t>
            </w:r>
          </w:p>
        </w:tc>
        <w:tc>
          <w:tcPr>
            <w:tcW w:w="10066" w:type="dxa"/>
            <w:gridSpan w:val="2"/>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tc>
      </w:tr>
      <w:tr>
        <w:trPr/>
        <w:tc>
          <w:tcPr>
            <w:tcW w:w="139" w:type="dxa"/>
            <w:tcBorders/>
            <w:vAlign w:val="center"/>
          </w:tcPr>
          <w:p>
            <w:pPr>
              <w:pStyle w:val="TableContents"/>
              <w:bidi w:val="0"/>
              <w:spacing w:before="0" w:after="283"/>
              <w:jc w:val="left"/>
              <w:rPr/>
            </w:pPr>
            <w:r>
              <w:rPr/>
              <w:t> </w:t>
            </w:r>
          </w:p>
        </w:tc>
        <w:tc>
          <w:tcPr>
            <w:tcW w:w="10066" w:type="dxa"/>
            <w:gridSpan w:val="2"/>
            <w:tcBorders/>
            <w:vAlign w:val="center"/>
          </w:tcPr>
          <w:p>
            <w:pPr>
              <w:pStyle w:val="TableContents"/>
              <w:bidi w:val="0"/>
              <w:spacing w:before="0" w:after="283"/>
              <w:jc w:val="left"/>
              <w:rPr/>
            </w:pPr>
            <w:r>
              <w:rPr/>
              <w:t> </w:t>
            </w:r>
          </w:p>
        </w:tc>
      </w:tr>
      <w:tr>
        <w:trPr/>
        <w:tc>
          <w:tcPr>
            <w:tcW w:w="139"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3.</w:t>
            </w:r>
          </w:p>
        </w:tc>
        <w:tc>
          <w:tcPr>
            <w:tcW w:w="10066" w:type="dxa"/>
            <w:gridSpan w:val="2"/>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tc>
      </w:tr>
      <w:tr>
        <w:trPr/>
        <w:tc>
          <w:tcPr>
            <w:tcW w:w="139" w:type="dxa"/>
            <w:tcBorders/>
            <w:vAlign w:val="center"/>
          </w:tcPr>
          <w:p>
            <w:pPr>
              <w:pStyle w:val="TableContents"/>
              <w:bidi w:val="0"/>
              <w:spacing w:before="0" w:after="283"/>
              <w:jc w:val="left"/>
              <w:rPr/>
            </w:pPr>
            <w:r>
              <w:rPr/>
              <w:t> </w:t>
            </w:r>
          </w:p>
        </w:tc>
        <w:tc>
          <w:tcPr>
            <w:tcW w:w="10066" w:type="dxa"/>
            <w:gridSpan w:val="2"/>
            <w:tcBorders/>
            <w:vAlign w:val="center"/>
          </w:tcPr>
          <w:p>
            <w:pPr>
              <w:pStyle w:val="TableContents"/>
              <w:bidi w:val="0"/>
              <w:spacing w:before="0" w:after="283"/>
              <w:jc w:val="left"/>
              <w:rPr/>
            </w:pPr>
            <w:r>
              <w:rPr/>
              <w:t> </w:t>
            </w:r>
          </w:p>
        </w:tc>
      </w:tr>
      <w:tr>
        <w:trPr/>
        <w:tc>
          <w:tcPr>
            <w:tcW w:w="139"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4.</w:t>
            </w:r>
          </w:p>
        </w:tc>
        <w:tc>
          <w:tcPr>
            <w:tcW w:w="10066" w:type="dxa"/>
            <w:gridSpan w:val="2"/>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I am responsible for establishing and maintaining disclosure controls and procedures (as defined in Exchange Act Rules 13a-15(e) and 15d-15(e)) and internal control over financial reporting (as defined in Exchange Act Rules 13a-15(f) and 15d-15(f)) for the registrant and have:</w:t>
            </w:r>
          </w:p>
        </w:tc>
      </w:tr>
      <w:tr>
        <w:trPr/>
        <w:tc>
          <w:tcPr>
            <w:tcW w:w="139" w:type="dxa"/>
            <w:tcBorders/>
            <w:vAlign w:val="center"/>
          </w:tcPr>
          <w:p>
            <w:pPr>
              <w:pStyle w:val="TableContents"/>
              <w:bidi w:val="0"/>
              <w:spacing w:before="0" w:after="283"/>
              <w:jc w:val="left"/>
              <w:rPr/>
            </w:pPr>
            <w:r>
              <w:rPr/>
              <w:t> </w:t>
            </w:r>
          </w:p>
        </w:tc>
        <w:tc>
          <w:tcPr>
            <w:tcW w:w="10066" w:type="dxa"/>
            <w:gridSpan w:val="2"/>
            <w:tcBorders/>
            <w:vAlign w:val="center"/>
          </w:tcPr>
          <w:p>
            <w:pPr>
              <w:pStyle w:val="TableContents"/>
              <w:bidi w:val="0"/>
              <w:spacing w:before="0" w:after="283"/>
              <w:jc w:val="left"/>
              <w:rPr/>
            </w:pPr>
            <w:r>
              <w:rPr/>
              <w:t> </w:t>
            </w:r>
          </w:p>
        </w:tc>
      </w:tr>
      <w:tr>
        <w:trPr/>
        <w:tc>
          <w:tcPr>
            <w:tcW w:w="139" w:type="dxa"/>
            <w:tcBorders/>
            <w:vAlign w:val="center"/>
          </w:tcPr>
          <w:p>
            <w:pPr>
              <w:pStyle w:val="TableContents"/>
              <w:bidi w:val="0"/>
              <w:spacing w:before="0" w:after="283"/>
              <w:jc w:val="left"/>
              <w:rPr/>
            </w:pPr>
            <w:r>
              <w:rPr/>
              <w:t> </w:t>
            </w:r>
          </w:p>
        </w:tc>
        <w:tc>
          <w:tcPr>
            <w:tcW w:w="203"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(a)</w:t>
            </w:r>
          </w:p>
        </w:tc>
        <w:tc>
          <w:tcPr>
            <w:tcW w:w="9863"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tc>
      </w:tr>
      <w:tr>
        <w:trPr/>
        <w:tc>
          <w:tcPr>
            <w:tcW w:w="139" w:type="dxa"/>
            <w:tcBorders/>
            <w:vAlign w:val="center"/>
          </w:tcPr>
          <w:p>
            <w:pPr>
              <w:pStyle w:val="TableContents"/>
              <w:bidi w:val="0"/>
              <w:spacing w:before="0" w:after="283"/>
              <w:jc w:val="left"/>
              <w:rPr/>
            </w:pPr>
            <w:r>
              <w:rPr/>
              <w:t> </w:t>
            </w:r>
          </w:p>
        </w:tc>
        <w:tc>
          <w:tcPr>
            <w:tcW w:w="203" w:type="dxa"/>
            <w:tcBorders/>
            <w:vAlign w:val="center"/>
          </w:tcPr>
          <w:p>
            <w:pPr>
              <w:pStyle w:val="TableContents"/>
              <w:bidi w:val="0"/>
              <w:spacing w:before="0" w:after="283"/>
              <w:jc w:val="left"/>
              <w:rPr/>
            </w:pPr>
            <w:r>
              <w:rPr/>
              <w:t> </w:t>
            </w:r>
          </w:p>
        </w:tc>
        <w:tc>
          <w:tcPr>
            <w:tcW w:w="9863" w:type="dxa"/>
            <w:tcBorders/>
            <w:vAlign w:val="center"/>
          </w:tcPr>
          <w:p>
            <w:pPr>
              <w:pStyle w:val="TableContents"/>
              <w:bidi w:val="0"/>
              <w:spacing w:before="0" w:after="283"/>
              <w:jc w:val="left"/>
              <w:rPr/>
            </w:pPr>
            <w:r>
              <w:rPr/>
              <w:t> </w:t>
            </w:r>
          </w:p>
        </w:tc>
      </w:tr>
      <w:tr>
        <w:trPr/>
        <w:tc>
          <w:tcPr>
            <w:tcW w:w="139" w:type="dxa"/>
            <w:tcBorders/>
            <w:vAlign w:val="center"/>
          </w:tcPr>
          <w:p>
            <w:pPr>
              <w:pStyle w:val="TableContents"/>
              <w:bidi w:val="0"/>
              <w:spacing w:before="0" w:after="283"/>
              <w:jc w:val="left"/>
              <w:rPr/>
            </w:pPr>
            <w:r>
              <w:rPr/>
              <w:t> </w:t>
            </w:r>
          </w:p>
        </w:tc>
        <w:tc>
          <w:tcPr>
            <w:tcW w:w="203"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(b)</w:t>
            </w:r>
          </w:p>
        </w:tc>
        <w:tc>
          <w:tcPr>
            <w:tcW w:w="9863"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tc>
      </w:tr>
      <w:tr>
        <w:trPr/>
        <w:tc>
          <w:tcPr>
            <w:tcW w:w="139" w:type="dxa"/>
            <w:tcBorders/>
            <w:vAlign w:val="center"/>
          </w:tcPr>
          <w:p>
            <w:pPr>
              <w:pStyle w:val="TableContents"/>
              <w:bidi w:val="0"/>
              <w:spacing w:before="0" w:after="283"/>
              <w:jc w:val="left"/>
              <w:rPr/>
            </w:pPr>
            <w:r>
              <w:rPr/>
              <w:t> </w:t>
            </w:r>
          </w:p>
        </w:tc>
        <w:tc>
          <w:tcPr>
            <w:tcW w:w="203" w:type="dxa"/>
            <w:tcBorders/>
            <w:vAlign w:val="center"/>
          </w:tcPr>
          <w:p>
            <w:pPr>
              <w:pStyle w:val="TableContents"/>
              <w:bidi w:val="0"/>
              <w:spacing w:before="0" w:after="283"/>
              <w:jc w:val="left"/>
              <w:rPr/>
            </w:pPr>
            <w:r>
              <w:rPr/>
              <w:t> </w:t>
            </w:r>
          </w:p>
        </w:tc>
        <w:tc>
          <w:tcPr>
            <w:tcW w:w="9863" w:type="dxa"/>
            <w:tcBorders/>
            <w:vAlign w:val="center"/>
          </w:tcPr>
          <w:p>
            <w:pPr>
              <w:pStyle w:val="TableContents"/>
              <w:bidi w:val="0"/>
              <w:spacing w:before="0" w:after="283"/>
              <w:jc w:val="left"/>
              <w:rPr/>
            </w:pPr>
            <w:r>
              <w:rPr/>
              <w:t> </w:t>
            </w:r>
          </w:p>
        </w:tc>
      </w:tr>
      <w:tr>
        <w:trPr/>
        <w:tc>
          <w:tcPr>
            <w:tcW w:w="139" w:type="dxa"/>
            <w:tcBorders/>
            <w:vAlign w:val="center"/>
          </w:tcPr>
          <w:p>
            <w:pPr>
              <w:pStyle w:val="TableContents"/>
              <w:bidi w:val="0"/>
              <w:spacing w:before="0" w:after="283"/>
              <w:jc w:val="left"/>
              <w:rPr/>
            </w:pPr>
            <w:r>
              <w:rPr/>
              <w:t> </w:t>
            </w:r>
          </w:p>
        </w:tc>
        <w:tc>
          <w:tcPr>
            <w:tcW w:w="203"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(c)</w:t>
            </w:r>
          </w:p>
        </w:tc>
        <w:tc>
          <w:tcPr>
            <w:tcW w:w="9863"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tc>
      </w:tr>
      <w:tr>
        <w:trPr/>
        <w:tc>
          <w:tcPr>
            <w:tcW w:w="139" w:type="dxa"/>
            <w:tcBorders/>
            <w:vAlign w:val="center"/>
          </w:tcPr>
          <w:p>
            <w:pPr>
              <w:pStyle w:val="TableContents"/>
              <w:bidi w:val="0"/>
              <w:spacing w:before="0" w:after="283"/>
              <w:jc w:val="left"/>
              <w:rPr/>
            </w:pPr>
            <w:r>
              <w:rPr/>
              <w:t> </w:t>
            </w:r>
          </w:p>
        </w:tc>
        <w:tc>
          <w:tcPr>
            <w:tcW w:w="203" w:type="dxa"/>
            <w:tcBorders/>
            <w:vAlign w:val="center"/>
          </w:tcPr>
          <w:p>
            <w:pPr>
              <w:pStyle w:val="TableContents"/>
              <w:bidi w:val="0"/>
              <w:spacing w:before="0" w:after="283"/>
              <w:jc w:val="left"/>
              <w:rPr/>
            </w:pPr>
            <w:r>
              <w:rPr/>
              <w:t> </w:t>
            </w:r>
          </w:p>
        </w:tc>
        <w:tc>
          <w:tcPr>
            <w:tcW w:w="9863" w:type="dxa"/>
            <w:tcBorders/>
            <w:vAlign w:val="center"/>
          </w:tcPr>
          <w:p>
            <w:pPr>
              <w:pStyle w:val="TableContents"/>
              <w:bidi w:val="0"/>
              <w:spacing w:before="0" w:after="283"/>
              <w:jc w:val="left"/>
              <w:rPr/>
            </w:pPr>
            <w:r>
              <w:rPr/>
              <w:t> </w:t>
            </w:r>
          </w:p>
        </w:tc>
      </w:tr>
      <w:tr>
        <w:trPr/>
        <w:tc>
          <w:tcPr>
            <w:tcW w:w="139" w:type="dxa"/>
            <w:tcBorders/>
            <w:vAlign w:val="center"/>
          </w:tcPr>
          <w:p>
            <w:pPr>
              <w:pStyle w:val="TableContents"/>
              <w:bidi w:val="0"/>
              <w:spacing w:before="0" w:after="283"/>
              <w:jc w:val="left"/>
              <w:rPr/>
            </w:pPr>
            <w:r>
              <w:rPr/>
              <w:t> </w:t>
            </w:r>
          </w:p>
        </w:tc>
        <w:tc>
          <w:tcPr>
            <w:tcW w:w="203"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(d)</w:t>
            </w:r>
          </w:p>
        </w:tc>
        <w:tc>
          <w:tcPr>
            <w:tcW w:w="9863"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tc>
      </w:tr>
      <w:tr>
        <w:trPr/>
        <w:tc>
          <w:tcPr>
            <w:tcW w:w="139" w:type="dxa"/>
            <w:tcBorders/>
            <w:vAlign w:val="center"/>
          </w:tcPr>
          <w:p>
            <w:pPr>
              <w:pStyle w:val="TableContents"/>
              <w:bidi w:val="0"/>
              <w:spacing w:before="0" w:after="283"/>
              <w:jc w:val="left"/>
              <w:rPr/>
            </w:pPr>
            <w:r>
              <w:rPr/>
              <w:t> </w:t>
            </w:r>
          </w:p>
        </w:tc>
        <w:tc>
          <w:tcPr>
            <w:tcW w:w="203" w:type="dxa"/>
            <w:tcBorders/>
            <w:vAlign w:val="center"/>
          </w:tcPr>
          <w:p>
            <w:pPr>
              <w:pStyle w:val="TableContents"/>
              <w:bidi w:val="0"/>
              <w:spacing w:before="0" w:after="283"/>
              <w:jc w:val="left"/>
              <w:rPr/>
            </w:pPr>
            <w:r>
              <w:rPr/>
              <w:t> </w:t>
            </w:r>
          </w:p>
        </w:tc>
        <w:tc>
          <w:tcPr>
            <w:tcW w:w="9863" w:type="dxa"/>
            <w:tcBorders/>
            <w:vAlign w:val="center"/>
          </w:tcPr>
          <w:p>
            <w:pPr>
              <w:pStyle w:val="TableContents"/>
              <w:bidi w:val="0"/>
              <w:spacing w:before="0" w:after="283"/>
              <w:jc w:val="left"/>
              <w:rPr/>
            </w:pPr>
            <w:r>
              <w:rPr/>
              <w:t> </w:t>
            </w:r>
          </w:p>
        </w:tc>
      </w:tr>
      <w:tr>
        <w:trPr/>
        <w:tc>
          <w:tcPr>
            <w:tcW w:w="139"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5.</w:t>
            </w:r>
          </w:p>
        </w:tc>
        <w:tc>
          <w:tcPr>
            <w:tcW w:w="10066" w:type="dxa"/>
            <w:gridSpan w:val="2"/>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I have disclosed, based on my most recent evaluation of internal control over financial reporting, to the registrant’s auditors and the audit committee of the registrant’s board of directors (or persons performing the equivalent functions):</w:t>
            </w:r>
          </w:p>
        </w:tc>
      </w:tr>
      <w:tr>
        <w:trPr/>
        <w:tc>
          <w:tcPr>
            <w:tcW w:w="139" w:type="dxa"/>
            <w:tcBorders/>
            <w:vAlign w:val="center"/>
          </w:tcPr>
          <w:p>
            <w:pPr>
              <w:pStyle w:val="TableContents"/>
              <w:bidi w:val="0"/>
              <w:spacing w:before="0" w:after="283"/>
              <w:jc w:val="left"/>
              <w:rPr/>
            </w:pPr>
            <w:r>
              <w:rPr/>
              <w:t> </w:t>
            </w:r>
          </w:p>
        </w:tc>
        <w:tc>
          <w:tcPr>
            <w:tcW w:w="10066" w:type="dxa"/>
            <w:gridSpan w:val="2"/>
            <w:tcBorders/>
            <w:vAlign w:val="center"/>
          </w:tcPr>
          <w:p>
            <w:pPr>
              <w:pStyle w:val="TableContents"/>
              <w:bidi w:val="0"/>
              <w:spacing w:before="0" w:after="283"/>
              <w:jc w:val="left"/>
              <w:rPr/>
            </w:pPr>
            <w:r>
              <w:rPr/>
              <w:t> </w:t>
            </w:r>
          </w:p>
        </w:tc>
      </w:tr>
      <w:tr>
        <w:trPr/>
        <w:tc>
          <w:tcPr>
            <w:tcW w:w="139" w:type="dxa"/>
            <w:tcBorders/>
            <w:vAlign w:val="center"/>
          </w:tcPr>
          <w:p>
            <w:pPr>
              <w:pStyle w:val="TableContents"/>
              <w:bidi w:val="0"/>
              <w:spacing w:before="0" w:after="283"/>
              <w:jc w:val="left"/>
              <w:rPr/>
            </w:pPr>
            <w:r>
              <w:rPr/>
              <w:t> </w:t>
            </w:r>
          </w:p>
        </w:tc>
        <w:tc>
          <w:tcPr>
            <w:tcW w:w="203"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(a)</w:t>
            </w:r>
          </w:p>
        </w:tc>
        <w:tc>
          <w:tcPr>
            <w:tcW w:w="9863"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tc>
      </w:tr>
      <w:tr>
        <w:trPr/>
        <w:tc>
          <w:tcPr>
            <w:tcW w:w="139" w:type="dxa"/>
            <w:tcBorders/>
            <w:vAlign w:val="center"/>
          </w:tcPr>
          <w:p>
            <w:pPr>
              <w:pStyle w:val="TableContents"/>
              <w:bidi w:val="0"/>
              <w:spacing w:before="0" w:after="283"/>
              <w:jc w:val="left"/>
              <w:rPr/>
            </w:pPr>
            <w:r>
              <w:rPr/>
              <w:t> </w:t>
            </w:r>
          </w:p>
        </w:tc>
        <w:tc>
          <w:tcPr>
            <w:tcW w:w="203" w:type="dxa"/>
            <w:tcBorders/>
            <w:vAlign w:val="center"/>
          </w:tcPr>
          <w:p>
            <w:pPr>
              <w:pStyle w:val="TableContents"/>
              <w:bidi w:val="0"/>
              <w:spacing w:before="0" w:after="283"/>
              <w:jc w:val="left"/>
              <w:rPr/>
            </w:pPr>
            <w:r>
              <w:rPr/>
              <w:t> </w:t>
            </w:r>
          </w:p>
        </w:tc>
        <w:tc>
          <w:tcPr>
            <w:tcW w:w="9863" w:type="dxa"/>
            <w:tcBorders/>
            <w:vAlign w:val="center"/>
          </w:tcPr>
          <w:p>
            <w:pPr>
              <w:pStyle w:val="TableContents"/>
              <w:bidi w:val="0"/>
              <w:spacing w:before="0" w:after="283"/>
              <w:jc w:val="left"/>
              <w:rPr/>
            </w:pPr>
            <w:r>
              <w:rPr/>
              <w:t> </w:t>
            </w:r>
          </w:p>
        </w:tc>
      </w:tr>
      <w:tr>
        <w:trPr/>
        <w:tc>
          <w:tcPr>
            <w:tcW w:w="139" w:type="dxa"/>
            <w:tcBorders/>
            <w:vAlign w:val="center"/>
          </w:tcPr>
          <w:p>
            <w:pPr>
              <w:pStyle w:val="TableContents"/>
              <w:bidi w:val="0"/>
              <w:spacing w:before="0" w:after="283"/>
              <w:jc w:val="left"/>
              <w:rPr/>
            </w:pPr>
            <w:r>
              <w:rPr/>
              <w:t> </w:t>
            </w:r>
          </w:p>
        </w:tc>
        <w:tc>
          <w:tcPr>
            <w:tcW w:w="203"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(b)</w:t>
            </w:r>
          </w:p>
        </w:tc>
        <w:tc>
          <w:tcPr>
            <w:tcW w:w="9863"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Any fraud, whether or not material, that involves management or other employees who have a significant role in the registrant’s internal control over financial reporting.</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 xml:space="preserve">Date: </w:t>
      </w:r>
      <w:bookmarkStart w:id="25" w:name="led455153F2023871694109969601"/>
      <w:bookmarkEnd w:id="25"/>
      <w:r>
        <w:rPr>
          <w:rFonts w:ascii="Times New Roman" w:hAnsi="Times New Roman"/>
          <w:caps w:val="false"/>
          <w:smallCaps w:val="false"/>
          <w:sz w:val="20"/>
        </w:rPr>
        <w:t>November 12, 2025</w:t>
      </w:r>
    </w:p>
    <w:p>
      <w:pPr>
        <w:pStyle w:val="TextBody"/>
        <w:bidi w:val="0"/>
        <w:spacing w:before="0" w:after="0"/>
        <w:ind w:left="0" w:right="0" w:hanging="0"/>
        <w:jc w:val="left"/>
        <w:rPr>
          <w:caps w:val="false"/>
          <w:smallCaps w:val="false"/>
        </w:rPr>
      </w:pPr>
      <w:r>
        <w:rPr>
          <w:caps w:val="false"/>
          <w:smallCaps w:val="false"/>
        </w:rPr>
        <w:t> </w:t>
      </w:r>
    </w:p>
    <w:tbl>
      <w:tblPr>
        <w:tblW w:w="2935" w:type="dxa"/>
        <w:jc w:val="left"/>
        <w:tblInd w:w="0" w:type="dxa"/>
        <w:tblLayout w:type="fixed"/>
        <w:tblCellMar>
          <w:top w:w="0" w:type="dxa"/>
          <w:left w:w="0" w:type="dxa"/>
          <w:bottom w:w="0" w:type="dxa"/>
          <w:right w:w="0" w:type="dxa"/>
        </w:tblCellMar>
      </w:tblPr>
      <w:tblGrid>
        <w:gridCol w:w="60"/>
        <w:gridCol w:w="410"/>
        <w:gridCol w:w="2465"/>
      </w:tblGrid>
      <w:tr>
        <w:trPr/>
        <w:tc>
          <w:tcPr>
            <w:tcW w:w="60" w:type="dxa"/>
            <w:tcBorders/>
            <w:vAlign w:val="center"/>
          </w:tcPr>
          <w:p>
            <w:pPr>
              <w:pStyle w:val="TableContents"/>
              <w:bidi w:val="0"/>
              <w:spacing w:before="0" w:after="283"/>
              <w:jc w:val="left"/>
              <w:rPr/>
            </w:pPr>
            <w:r>
              <w:rPr/>
              <w:t> </w:t>
            </w:r>
          </w:p>
        </w:tc>
        <w:tc>
          <w:tcPr>
            <w:tcW w:w="41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By:  </w:t>
            </w:r>
          </w:p>
        </w:tc>
        <w:tc>
          <w:tcPr>
            <w:tcW w:w="2465"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 w:hAnsi="Times New Roman"/>
                <w:i/>
                <w:caps w:val="false"/>
                <w:smallCaps w:val="false"/>
                <w:sz w:val="20"/>
              </w:rPr>
            </w:pPr>
            <w:r>
              <w:rPr>
                <w:rFonts w:ascii="Times New Roman" w:hAnsi="Times New Roman"/>
                <w:i/>
                <w:caps w:val="false"/>
                <w:smallCaps w:val="false"/>
                <w:sz w:val="20"/>
              </w:rPr>
              <w:t>/s/ Ryan L. Smith</w:t>
            </w:r>
          </w:p>
        </w:tc>
      </w:tr>
      <w:tr>
        <w:trPr/>
        <w:tc>
          <w:tcPr>
            <w:tcW w:w="60" w:type="dxa"/>
            <w:tcBorders/>
            <w:vAlign w:val="center"/>
          </w:tcPr>
          <w:p>
            <w:pPr>
              <w:pStyle w:val="TableContents"/>
              <w:bidi w:val="0"/>
              <w:spacing w:before="0" w:after="283"/>
              <w:jc w:val="left"/>
              <w:rPr/>
            </w:pPr>
            <w:r>
              <w:rPr/>
              <w:t> </w:t>
            </w:r>
          </w:p>
        </w:tc>
        <w:tc>
          <w:tcPr>
            <w:tcW w:w="410" w:type="dxa"/>
            <w:tcBorders/>
            <w:vAlign w:val="center"/>
          </w:tcPr>
          <w:p>
            <w:pPr>
              <w:pStyle w:val="TableContents"/>
              <w:bidi w:val="0"/>
              <w:spacing w:before="0" w:after="283"/>
              <w:jc w:val="left"/>
              <w:rPr/>
            </w:pPr>
            <w:r>
              <w:rPr/>
              <w:t> </w:t>
            </w:r>
          </w:p>
        </w:tc>
        <w:tc>
          <w:tcPr>
            <w:tcW w:w="2465" w:type="dxa"/>
            <w:tcBorders/>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Ryan L. Smith</w:t>
            </w:r>
          </w:p>
        </w:tc>
      </w:tr>
      <w:tr>
        <w:trPr/>
        <w:tc>
          <w:tcPr>
            <w:tcW w:w="60" w:type="dxa"/>
            <w:tcBorders/>
            <w:vAlign w:val="center"/>
          </w:tcPr>
          <w:p>
            <w:pPr>
              <w:pStyle w:val="TableContents"/>
              <w:bidi w:val="0"/>
              <w:spacing w:before="0" w:after="283"/>
              <w:jc w:val="left"/>
              <w:rPr/>
            </w:pPr>
            <w:r>
              <w:rPr/>
              <w:t> </w:t>
            </w:r>
          </w:p>
        </w:tc>
        <w:tc>
          <w:tcPr>
            <w:tcW w:w="410" w:type="dxa"/>
            <w:tcBorders/>
            <w:vAlign w:val="center"/>
          </w:tcPr>
          <w:p>
            <w:pPr>
              <w:pStyle w:val="TableContents"/>
              <w:bidi w:val="0"/>
              <w:spacing w:before="0" w:after="283"/>
              <w:jc w:val="left"/>
              <w:rPr/>
            </w:pPr>
            <w:r>
              <w:rPr/>
              <w:t> </w:t>
            </w:r>
          </w:p>
        </w:tc>
        <w:tc>
          <w:tcPr>
            <w:tcW w:w="2465" w:type="dxa"/>
            <w:tcBorders/>
            <w:vAlign w:val="center"/>
          </w:tcPr>
          <w:p>
            <w:pPr>
              <w:pStyle w:val="TableContents"/>
              <w:bidi w:val="0"/>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Chief Executive Officer</w:t>
            </w:r>
          </w:p>
          <w:p>
            <w:pPr>
              <w:pStyle w:val="TableContents"/>
              <w:bidi w:val="0"/>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(Principal Executive Officer)</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283"/>
        <w:jc w:val="left"/>
        <w:rPr/>
      </w:pPr>
      <w:r>
        <w:rPr/>
        <w:t> </w:t>
      </w:r>
    </w:p>
    <w:p>
      <w:pPr>
        <w:pStyle w:val="TextBody"/>
        <w:bidi w:val="0"/>
        <w:spacing w:before="0" w:after="0"/>
        <w:ind w:left="0" w:right="0" w:hanging="0"/>
        <w:jc w:val="right"/>
        <w:rPr>
          <w:rFonts w:ascii="Times New Roman" w:hAnsi="Times New Roman"/>
          <w:b/>
          <w:caps w:val="false"/>
          <w:smallCaps w:val="false"/>
          <w:sz w:val="20"/>
        </w:rPr>
      </w:pPr>
      <w:bookmarkStart w:id="26" w:name="ex_856569.htm"/>
      <w:bookmarkStart w:id="27" w:name="ksex_856569"/>
      <w:bookmarkEnd w:id="26"/>
      <w:bookmarkEnd w:id="27"/>
      <w:r>
        <w:rPr>
          <w:rFonts w:ascii="Times New Roman" w:hAnsi="Times New Roman"/>
          <w:b/>
          <w:caps w:val="false"/>
          <w:smallCaps w:val="false"/>
          <w:sz w:val="20"/>
        </w:rPr>
        <w:t>Exhibit 31.2</w:t>
      </w:r>
      <w:r>
        <w:br w:type="page"/>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CERTIFICATION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I, Mark L. Zajac, certify that:</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39"/>
        <w:gridCol w:w="203"/>
        <w:gridCol w:w="9863"/>
      </w:tblGrid>
      <w:tr>
        <w:trPr/>
        <w:tc>
          <w:tcPr>
            <w:tcW w:w="139"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1.</w:t>
            </w:r>
          </w:p>
        </w:tc>
        <w:tc>
          <w:tcPr>
            <w:tcW w:w="10066" w:type="dxa"/>
            <w:gridSpan w:val="2"/>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I have reviewed this Quarterly Report on Form 10-Q of U.S. Energy Corp.;</w:t>
            </w:r>
          </w:p>
        </w:tc>
      </w:tr>
      <w:tr>
        <w:trPr/>
        <w:tc>
          <w:tcPr>
            <w:tcW w:w="139" w:type="dxa"/>
            <w:tcBorders/>
            <w:vAlign w:val="center"/>
          </w:tcPr>
          <w:p>
            <w:pPr>
              <w:pStyle w:val="TableContents"/>
              <w:bidi w:val="0"/>
              <w:spacing w:before="0" w:after="283"/>
              <w:jc w:val="left"/>
              <w:rPr/>
            </w:pPr>
            <w:r>
              <w:rPr/>
              <w:t> </w:t>
            </w:r>
          </w:p>
        </w:tc>
        <w:tc>
          <w:tcPr>
            <w:tcW w:w="10066" w:type="dxa"/>
            <w:gridSpan w:val="2"/>
            <w:tcBorders/>
            <w:vAlign w:val="center"/>
          </w:tcPr>
          <w:p>
            <w:pPr>
              <w:pStyle w:val="TableContents"/>
              <w:bidi w:val="0"/>
              <w:spacing w:before="0" w:after="283"/>
              <w:jc w:val="left"/>
              <w:rPr/>
            </w:pPr>
            <w:r>
              <w:rPr/>
              <w:t> </w:t>
            </w:r>
          </w:p>
        </w:tc>
      </w:tr>
      <w:tr>
        <w:trPr/>
        <w:tc>
          <w:tcPr>
            <w:tcW w:w="139"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2.</w:t>
            </w:r>
          </w:p>
        </w:tc>
        <w:tc>
          <w:tcPr>
            <w:tcW w:w="10066" w:type="dxa"/>
            <w:gridSpan w:val="2"/>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tc>
      </w:tr>
      <w:tr>
        <w:trPr/>
        <w:tc>
          <w:tcPr>
            <w:tcW w:w="139" w:type="dxa"/>
            <w:tcBorders/>
            <w:vAlign w:val="center"/>
          </w:tcPr>
          <w:p>
            <w:pPr>
              <w:pStyle w:val="TableContents"/>
              <w:bidi w:val="0"/>
              <w:spacing w:before="0" w:after="283"/>
              <w:jc w:val="left"/>
              <w:rPr/>
            </w:pPr>
            <w:r>
              <w:rPr/>
              <w:t> </w:t>
            </w:r>
          </w:p>
        </w:tc>
        <w:tc>
          <w:tcPr>
            <w:tcW w:w="10066" w:type="dxa"/>
            <w:gridSpan w:val="2"/>
            <w:tcBorders/>
            <w:vAlign w:val="center"/>
          </w:tcPr>
          <w:p>
            <w:pPr>
              <w:pStyle w:val="TableContents"/>
              <w:bidi w:val="0"/>
              <w:spacing w:before="0" w:after="283"/>
              <w:jc w:val="left"/>
              <w:rPr/>
            </w:pPr>
            <w:r>
              <w:rPr/>
              <w:t> </w:t>
            </w:r>
          </w:p>
        </w:tc>
      </w:tr>
      <w:tr>
        <w:trPr/>
        <w:tc>
          <w:tcPr>
            <w:tcW w:w="139"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3.</w:t>
            </w:r>
          </w:p>
        </w:tc>
        <w:tc>
          <w:tcPr>
            <w:tcW w:w="10066" w:type="dxa"/>
            <w:gridSpan w:val="2"/>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tc>
      </w:tr>
      <w:tr>
        <w:trPr/>
        <w:tc>
          <w:tcPr>
            <w:tcW w:w="139" w:type="dxa"/>
            <w:tcBorders/>
            <w:vAlign w:val="center"/>
          </w:tcPr>
          <w:p>
            <w:pPr>
              <w:pStyle w:val="TableContents"/>
              <w:bidi w:val="0"/>
              <w:spacing w:before="0" w:after="283"/>
              <w:jc w:val="left"/>
              <w:rPr/>
            </w:pPr>
            <w:r>
              <w:rPr/>
              <w:t> </w:t>
            </w:r>
          </w:p>
        </w:tc>
        <w:tc>
          <w:tcPr>
            <w:tcW w:w="10066" w:type="dxa"/>
            <w:gridSpan w:val="2"/>
            <w:tcBorders/>
            <w:vAlign w:val="center"/>
          </w:tcPr>
          <w:p>
            <w:pPr>
              <w:pStyle w:val="TableContents"/>
              <w:bidi w:val="0"/>
              <w:spacing w:before="0" w:after="283"/>
              <w:jc w:val="left"/>
              <w:rPr/>
            </w:pPr>
            <w:r>
              <w:rPr/>
              <w:t> </w:t>
            </w:r>
          </w:p>
        </w:tc>
      </w:tr>
      <w:tr>
        <w:trPr/>
        <w:tc>
          <w:tcPr>
            <w:tcW w:w="139"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4.</w:t>
            </w:r>
          </w:p>
        </w:tc>
        <w:tc>
          <w:tcPr>
            <w:tcW w:w="10066" w:type="dxa"/>
            <w:gridSpan w:val="2"/>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I am responsible for establishing and maintaining disclosure controls and procedures (as defined in Exchange Act Rules 13a-15(e) and 15d-15(e)) and internal control over financial reporting (as defined in Exchange Act Rules 13a-15(f) and 15d-15(f)) for the registrant and have:</w:t>
            </w:r>
          </w:p>
        </w:tc>
      </w:tr>
      <w:tr>
        <w:trPr/>
        <w:tc>
          <w:tcPr>
            <w:tcW w:w="139" w:type="dxa"/>
            <w:tcBorders/>
            <w:vAlign w:val="center"/>
          </w:tcPr>
          <w:p>
            <w:pPr>
              <w:pStyle w:val="TableContents"/>
              <w:bidi w:val="0"/>
              <w:spacing w:before="0" w:after="283"/>
              <w:jc w:val="left"/>
              <w:rPr/>
            </w:pPr>
            <w:r>
              <w:rPr/>
              <w:t> </w:t>
            </w:r>
          </w:p>
        </w:tc>
        <w:tc>
          <w:tcPr>
            <w:tcW w:w="203" w:type="dxa"/>
            <w:tcBorders/>
            <w:vAlign w:val="center"/>
          </w:tcPr>
          <w:p>
            <w:pPr>
              <w:pStyle w:val="TableContents"/>
              <w:bidi w:val="0"/>
              <w:spacing w:before="0" w:after="283"/>
              <w:jc w:val="left"/>
              <w:rPr/>
            </w:pPr>
            <w:r>
              <w:rPr/>
              <w:t> </w:t>
            </w:r>
          </w:p>
        </w:tc>
        <w:tc>
          <w:tcPr>
            <w:tcW w:w="9863" w:type="dxa"/>
            <w:tcBorders/>
            <w:vAlign w:val="center"/>
          </w:tcPr>
          <w:p>
            <w:pPr>
              <w:pStyle w:val="TableContents"/>
              <w:bidi w:val="0"/>
              <w:spacing w:before="0" w:after="283"/>
              <w:jc w:val="left"/>
              <w:rPr/>
            </w:pPr>
            <w:r>
              <w:rPr/>
              <w:t> </w:t>
            </w:r>
          </w:p>
        </w:tc>
      </w:tr>
      <w:tr>
        <w:trPr/>
        <w:tc>
          <w:tcPr>
            <w:tcW w:w="139" w:type="dxa"/>
            <w:tcBorders/>
            <w:vAlign w:val="center"/>
          </w:tcPr>
          <w:p>
            <w:pPr>
              <w:pStyle w:val="TableContents"/>
              <w:bidi w:val="0"/>
              <w:spacing w:before="0" w:after="283"/>
              <w:jc w:val="left"/>
              <w:rPr/>
            </w:pPr>
            <w:r>
              <w:rPr/>
              <w:t> </w:t>
            </w:r>
          </w:p>
        </w:tc>
        <w:tc>
          <w:tcPr>
            <w:tcW w:w="203"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(a)</w:t>
            </w:r>
          </w:p>
        </w:tc>
        <w:tc>
          <w:tcPr>
            <w:tcW w:w="9863"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tc>
      </w:tr>
      <w:tr>
        <w:trPr/>
        <w:tc>
          <w:tcPr>
            <w:tcW w:w="139" w:type="dxa"/>
            <w:tcBorders/>
            <w:vAlign w:val="center"/>
          </w:tcPr>
          <w:p>
            <w:pPr>
              <w:pStyle w:val="TableContents"/>
              <w:bidi w:val="0"/>
              <w:spacing w:before="0" w:after="283"/>
              <w:jc w:val="left"/>
              <w:rPr/>
            </w:pPr>
            <w:r>
              <w:rPr/>
              <w:t> </w:t>
            </w:r>
          </w:p>
        </w:tc>
        <w:tc>
          <w:tcPr>
            <w:tcW w:w="203" w:type="dxa"/>
            <w:tcBorders/>
            <w:vAlign w:val="center"/>
          </w:tcPr>
          <w:p>
            <w:pPr>
              <w:pStyle w:val="TableContents"/>
              <w:bidi w:val="0"/>
              <w:spacing w:before="0" w:after="283"/>
              <w:jc w:val="left"/>
              <w:rPr/>
            </w:pPr>
            <w:r>
              <w:rPr/>
              <w:t> </w:t>
            </w:r>
          </w:p>
        </w:tc>
        <w:tc>
          <w:tcPr>
            <w:tcW w:w="9863" w:type="dxa"/>
            <w:tcBorders/>
            <w:vAlign w:val="center"/>
          </w:tcPr>
          <w:p>
            <w:pPr>
              <w:pStyle w:val="TableContents"/>
              <w:bidi w:val="0"/>
              <w:spacing w:before="0" w:after="283"/>
              <w:jc w:val="left"/>
              <w:rPr/>
            </w:pPr>
            <w:r>
              <w:rPr/>
              <w:t> </w:t>
            </w:r>
          </w:p>
        </w:tc>
      </w:tr>
      <w:tr>
        <w:trPr/>
        <w:tc>
          <w:tcPr>
            <w:tcW w:w="139" w:type="dxa"/>
            <w:tcBorders/>
            <w:vAlign w:val="center"/>
          </w:tcPr>
          <w:p>
            <w:pPr>
              <w:pStyle w:val="TableContents"/>
              <w:bidi w:val="0"/>
              <w:spacing w:before="0" w:after="283"/>
              <w:jc w:val="left"/>
              <w:rPr/>
            </w:pPr>
            <w:r>
              <w:rPr/>
              <w:t> </w:t>
            </w:r>
          </w:p>
        </w:tc>
        <w:tc>
          <w:tcPr>
            <w:tcW w:w="203"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(b)</w:t>
            </w:r>
          </w:p>
        </w:tc>
        <w:tc>
          <w:tcPr>
            <w:tcW w:w="9863"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tc>
      </w:tr>
      <w:tr>
        <w:trPr/>
        <w:tc>
          <w:tcPr>
            <w:tcW w:w="139" w:type="dxa"/>
            <w:tcBorders/>
            <w:vAlign w:val="center"/>
          </w:tcPr>
          <w:p>
            <w:pPr>
              <w:pStyle w:val="TableContents"/>
              <w:bidi w:val="0"/>
              <w:spacing w:before="0" w:after="283"/>
              <w:jc w:val="left"/>
              <w:rPr/>
            </w:pPr>
            <w:r>
              <w:rPr/>
              <w:t> </w:t>
            </w:r>
          </w:p>
        </w:tc>
        <w:tc>
          <w:tcPr>
            <w:tcW w:w="203" w:type="dxa"/>
            <w:tcBorders/>
            <w:vAlign w:val="center"/>
          </w:tcPr>
          <w:p>
            <w:pPr>
              <w:pStyle w:val="TableContents"/>
              <w:bidi w:val="0"/>
              <w:spacing w:before="0" w:after="283"/>
              <w:jc w:val="left"/>
              <w:rPr/>
            </w:pPr>
            <w:r>
              <w:rPr/>
              <w:t> </w:t>
            </w:r>
          </w:p>
        </w:tc>
        <w:tc>
          <w:tcPr>
            <w:tcW w:w="9863" w:type="dxa"/>
            <w:tcBorders/>
            <w:vAlign w:val="center"/>
          </w:tcPr>
          <w:p>
            <w:pPr>
              <w:pStyle w:val="TableContents"/>
              <w:bidi w:val="0"/>
              <w:spacing w:before="0" w:after="283"/>
              <w:jc w:val="left"/>
              <w:rPr/>
            </w:pPr>
            <w:r>
              <w:rPr/>
              <w:t> </w:t>
            </w:r>
          </w:p>
        </w:tc>
      </w:tr>
      <w:tr>
        <w:trPr/>
        <w:tc>
          <w:tcPr>
            <w:tcW w:w="139" w:type="dxa"/>
            <w:tcBorders/>
            <w:vAlign w:val="center"/>
          </w:tcPr>
          <w:p>
            <w:pPr>
              <w:pStyle w:val="TableContents"/>
              <w:bidi w:val="0"/>
              <w:spacing w:before="0" w:after="283"/>
              <w:jc w:val="left"/>
              <w:rPr/>
            </w:pPr>
            <w:r>
              <w:rPr/>
              <w:t> </w:t>
            </w:r>
          </w:p>
        </w:tc>
        <w:tc>
          <w:tcPr>
            <w:tcW w:w="203"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(c)</w:t>
            </w:r>
          </w:p>
        </w:tc>
        <w:tc>
          <w:tcPr>
            <w:tcW w:w="9863"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tc>
      </w:tr>
      <w:tr>
        <w:trPr/>
        <w:tc>
          <w:tcPr>
            <w:tcW w:w="139" w:type="dxa"/>
            <w:tcBorders/>
            <w:vAlign w:val="center"/>
          </w:tcPr>
          <w:p>
            <w:pPr>
              <w:pStyle w:val="TableContents"/>
              <w:bidi w:val="0"/>
              <w:spacing w:before="0" w:after="283"/>
              <w:jc w:val="left"/>
              <w:rPr/>
            </w:pPr>
            <w:r>
              <w:rPr/>
              <w:t> </w:t>
            </w:r>
          </w:p>
        </w:tc>
        <w:tc>
          <w:tcPr>
            <w:tcW w:w="203" w:type="dxa"/>
            <w:tcBorders/>
            <w:vAlign w:val="center"/>
          </w:tcPr>
          <w:p>
            <w:pPr>
              <w:pStyle w:val="TableContents"/>
              <w:bidi w:val="0"/>
              <w:spacing w:before="0" w:after="283"/>
              <w:jc w:val="left"/>
              <w:rPr/>
            </w:pPr>
            <w:r>
              <w:rPr/>
              <w:t> </w:t>
            </w:r>
          </w:p>
        </w:tc>
        <w:tc>
          <w:tcPr>
            <w:tcW w:w="9863" w:type="dxa"/>
            <w:tcBorders/>
            <w:vAlign w:val="center"/>
          </w:tcPr>
          <w:p>
            <w:pPr>
              <w:pStyle w:val="TableContents"/>
              <w:bidi w:val="0"/>
              <w:spacing w:before="0" w:after="283"/>
              <w:jc w:val="left"/>
              <w:rPr/>
            </w:pPr>
            <w:r>
              <w:rPr/>
              <w:t> </w:t>
            </w:r>
          </w:p>
        </w:tc>
      </w:tr>
      <w:tr>
        <w:trPr/>
        <w:tc>
          <w:tcPr>
            <w:tcW w:w="139" w:type="dxa"/>
            <w:tcBorders/>
            <w:vAlign w:val="center"/>
          </w:tcPr>
          <w:p>
            <w:pPr>
              <w:pStyle w:val="TableContents"/>
              <w:bidi w:val="0"/>
              <w:spacing w:before="0" w:after="283"/>
              <w:jc w:val="left"/>
              <w:rPr/>
            </w:pPr>
            <w:r>
              <w:rPr/>
              <w:t> </w:t>
            </w:r>
          </w:p>
        </w:tc>
        <w:tc>
          <w:tcPr>
            <w:tcW w:w="203"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(d)</w:t>
            </w:r>
          </w:p>
        </w:tc>
        <w:tc>
          <w:tcPr>
            <w:tcW w:w="9863"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tc>
      </w:tr>
      <w:tr>
        <w:trPr/>
        <w:tc>
          <w:tcPr>
            <w:tcW w:w="139" w:type="dxa"/>
            <w:tcBorders/>
            <w:vAlign w:val="center"/>
          </w:tcPr>
          <w:p>
            <w:pPr>
              <w:pStyle w:val="TableContents"/>
              <w:bidi w:val="0"/>
              <w:spacing w:before="0" w:after="283"/>
              <w:jc w:val="left"/>
              <w:rPr/>
            </w:pPr>
            <w:r>
              <w:rPr/>
              <w:t> </w:t>
            </w:r>
          </w:p>
        </w:tc>
        <w:tc>
          <w:tcPr>
            <w:tcW w:w="203" w:type="dxa"/>
            <w:tcBorders/>
            <w:vAlign w:val="center"/>
          </w:tcPr>
          <w:p>
            <w:pPr>
              <w:pStyle w:val="TableContents"/>
              <w:bidi w:val="0"/>
              <w:spacing w:before="0" w:after="283"/>
              <w:jc w:val="left"/>
              <w:rPr/>
            </w:pPr>
            <w:r>
              <w:rPr/>
              <w:t> </w:t>
            </w:r>
          </w:p>
        </w:tc>
        <w:tc>
          <w:tcPr>
            <w:tcW w:w="9863" w:type="dxa"/>
            <w:tcBorders/>
            <w:vAlign w:val="center"/>
          </w:tcPr>
          <w:p>
            <w:pPr>
              <w:pStyle w:val="TableContents"/>
              <w:bidi w:val="0"/>
              <w:spacing w:before="0" w:after="283"/>
              <w:jc w:val="left"/>
              <w:rPr/>
            </w:pPr>
            <w:r>
              <w:rPr/>
              <w:t> </w:t>
            </w:r>
          </w:p>
        </w:tc>
      </w:tr>
      <w:tr>
        <w:trPr/>
        <w:tc>
          <w:tcPr>
            <w:tcW w:w="139"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5.</w:t>
            </w:r>
          </w:p>
        </w:tc>
        <w:tc>
          <w:tcPr>
            <w:tcW w:w="10066" w:type="dxa"/>
            <w:gridSpan w:val="2"/>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I have disclosed, based on my most recent evaluation of internal control over financial reporting, to the registrant’s auditors and the audit committee of the registrant’s board of directors (or persons performing the equivalent functions):</w:t>
            </w:r>
          </w:p>
        </w:tc>
      </w:tr>
      <w:tr>
        <w:trPr/>
        <w:tc>
          <w:tcPr>
            <w:tcW w:w="139" w:type="dxa"/>
            <w:tcBorders/>
            <w:vAlign w:val="center"/>
          </w:tcPr>
          <w:p>
            <w:pPr>
              <w:pStyle w:val="TableContents"/>
              <w:bidi w:val="0"/>
              <w:spacing w:before="0" w:after="283"/>
              <w:jc w:val="left"/>
              <w:rPr/>
            </w:pPr>
            <w:r>
              <w:rPr/>
              <w:t> </w:t>
            </w:r>
          </w:p>
        </w:tc>
        <w:tc>
          <w:tcPr>
            <w:tcW w:w="203" w:type="dxa"/>
            <w:tcBorders/>
            <w:vAlign w:val="center"/>
          </w:tcPr>
          <w:p>
            <w:pPr>
              <w:pStyle w:val="TableContents"/>
              <w:bidi w:val="0"/>
              <w:spacing w:before="0" w:after="283"/>
              <w:jc w:val="left"/>
              <w:rPr/>
            </w:pPr>
            <w:r>
              <w:rPr/>
              <w:t> </w:t>
            </w:r>
          </w:p>
        </w:tc>
        <w:tc>
          <w:tcPr>
            <w:tcW w:w="9863" w:type="dxa"/>
            <w:tcBorders/>
            <w:vAlign w:val="center"/>
          </w:tcPr>
          <w:p>
            <w:pPr>
              <w:pStyle w:val="TableContents"/>
              <w:bidi w:val="0"/>
              <w:spacing w:before="0" w:after="283"/>
              <w:jc w:val="left"/>
              <w:rPr/>
            </w:pPr>
            <w:r>
              <w:rPr/>
              <w:t> </w:t>
            </w:r>
          </w:p>
        </w:tc>
      </w:tr>
      <w:tr>
        <w:trPr/>
        <w:tc>
          <w:tcPr>
            <w:tcW w:w="139" w:type="dxa"/>
            <w:tcBorders/>
            <w:vAlign w:val="center"/>
          </w:tcPr>
          <w:p>
            <w:pPr>
              <w:pStyle w:val="TableContents"/>
              <w:bidi w:val="0"/>
              <w:spacing w:before="0" w:after="283"/>
              <w:jc w:val="left"/>
              <w:rPr/>
            </w:pPr>
            <w:r>
              <w:rPr/>
              <w:t> </w:t>
            </w:r>
          </w:p>
        </w:tc>
        <w:tc>
          <w:tcPr>
            <w:tcW w:w="203"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(a)</w:t>
            </w:r>
          </w:p>
        </w:tc>
        <w:tc>
          <w:tcPr>
            <w:tcW w:w="9863"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tc>
      </w:tr>
      <w:tr>
        <w:trPr/>
        <w:tc>
          <w:tcPr>
            <w:tcW w:w="139" w:type="dxa"/>
            <w:tcBorders/>
            <w:vAlign w:val="center"/>
          </w:tcPr>
          <w:p>
            <w:pPr>
              <w:pStyle w:val="TableContents"/>
              <w:bidi w:val="0"/>
              <w:spacing w:before="0" w:after="283"/>
              <w:jc w:val="left"/>
              <w:rPr/>
            </w:pPr>
            <w:r>
              <w:rPr/>
              <w:t> </w:t>
            </w:r>
          </w:p>
        </w:tc>
        <w:tc>
          <w:tcPr>
            <w:tcW w:w="203" w:type="dxa"/>
            <w:tcBorders/>
            <w:vAlign w:val="center"/>
          </w:tcPr>
          <w:p>
            <w:pPr>
              <w:pStyle w:val="TableContents"/>
              <w:bidi w:val="0"/>
              <w:spacing w:before="0" w:after="283"/>
              <w:jc w:val="left"/>
              <w:rPr/>
            </w:pPr>
            <w:r>
              <w:rPr/>
              <w:t> </w:t>
            </w:r>
          </w:p>
        </w:tc>
        <w:tc>
          <w:tcPr>
            <w:tcW w:w="9863" w:type="dxa"/>
            <w:tcBorders/>
            <w:vAlign w:val="center"/>
          </w:tcPr>
          <w:p>
            <w:pPr>
              <w:pStyle w:val="TableContents"/>
              <w:bidi w:val="0"/>
              <w:spacing w:before="0" w:after="283"/>
              <w:jc w:val="left"/>
              <w:rPr/>
            </w:pPr>
            <w:r>
              <w:rPr/>
              <w:t> </w:t>
            </w:r>
          </w:p>
        </w:tc>
      </w:tr>
      <w:tr>
        <w:trPr/>
        <w:tc>
          <w:tcPr>
            <w:tcW w:w="139" w:type="dxa"/>
            <w:tcBorders/>
            <w:vAlign w:val="center"/>
          </w:tcPr>
          <w:p>
            <w:pPr>
              <w:pStyle w:val="TableContents"/>
              <w:bidi w:val="0"/>
              <w:spacing w:before="0" w:after="283"/>
              <w:jc w:val="left"/>
              <w:rPr/>
            </w:pPr>
            <w:r>
              <w:rPr/>
              <w:t> </w:t>
            </w:r>
          </w:p>
        </w:tc>
        <w:tc>
          <w:tcPr>
            <w:tcW w:w="203"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(b)</w:t>
            </w:r>
          </w:p>
        </w:tc>
        <w:tc>
          <w:tcPr>
            <w:tcW w:w="9863"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Any fraud, whether or not material, that involves management or other employees who have a significant role in the registrant’s internal control over financial reporting.</w:t>
            </w:r>
          </w:p>
        </w:tc>
      </w:tr>
    </w:tbl>
    <w:p>
      <w:pPr>
        <w:pStyle w:val="TextBody"/>
        <w:bidi w:val="0"/>
        <w:spacing w:before="0" w:after="0"/>
        <w:ind w:left="0" w:right="0" w:hanging="0"/>
        <w:jc w:val="left"/>
        <w:rPr>
          <w:caps w:val="false"/>
          <w:smallCaps w:val="false"/>
        </w:rPr>
      </w:pPr>
      <w:r>
        <w:rPr>
          <w:caps w:val="false"/>
          <w:smallCaps w:val="false"/>
        </w:rPr>
        <w:t> </w:t>
      </w:r>
    </w:p>
    <w:tbl>
      <w:tblPr>
        <w:tblW w:w="6315" w:type="dxa"/>
        <w:jc w:val="left"/>
        <w:tblInd w:w="0" w:type="dxa"/>
        <w:tblLayout w:type="fixed"/>
        <w:tblCellMar>
          <w:top w:w="0" w:type="dxa"/>
          <w:left w:w="0" w:type="dxa"/>
          <w:bottom w:w="0" w:type="dxa"/>
          <w:right w:w="0" w:type="dxa"/>
        </w:tblCellMar>
      </w:tblPr>
      <w:tblGrid>
        <w:gridCol w:w="2105"/>
        <w:gridCol w:w="410"/>
        <w:gridCol w:w="3800"/>
      </w:tblGrid>
      <w:tr>
        <w:trPr/>
        <w:tc>
          <w:tcPr>
            <w:tcW w:w="210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 xml:space="preserve">Date: </w:t>
            </w:r>
            <w:bookmarkStart w:id="28" w:name="led455153F2023871694109988835"/>
            <w:bookmarkEnd w:id="28"/>
            <w:r>
              <w:rPr>
                <w:rFonts w:ascii="Times New Roman" w:hAnsi="Times New Roman"/>
                <w:caps w:val="false"/>
                <w:smallCaps w:val="false"/>
                <w:sz w:val="20"/>
              </w:rPr>
              <w:t>November 12, 2025</w:t>
            </w:r>
          </w:p>
        </w:tc>
        <w:tc>
          <w:tcPr>
            <w:tcW w:w="410" w:type="dxa"/>
            <w:tcBorders/>
            <w:vAlign w:val="center"/>
          </w:tcPr>
          <w:p>
            <w:pPr>
              <w:pStyle w:val="TableContents"/>
              <w:bidi w:val="0"/>
              <w:spacing w:before="0" w:after="283"/>
              <w:jc w:val="left"/>
              <w:rPr/>
            </w:pPr>
            <w:r>
              <w:rPr/>
              <w:t> </w:t>
            </w:r>
          </w:p>
        </w:tc>
        <w:tc>
          <w:tcPr>
            <w:tcW w:w="3800" w:type="dxa"/>
            <w:tcBorders/>
            <w:vAlign w:val="center"/>
          </w:tcPr>
          <w:p>
            <w:pPr>
              <w:pStyle w:val="TableContents"/>
              <w:bidi w:val="0"/>
              <w:spacing w:before="0" w:after="283"/>
              <w:jc w:val="left"/>
              <w:rPr/>
            </w:pPr>
            <w:r>
              <w:rPr/>
              <w:t> </w:t>
            </w:r>
          </w:p>
        </w:tc>
      </w:tr>
      <w:tr>
        <w:trPr/>
        <w:tc>
          <w:tcPr>
            <w:tcW w:w="2105" w:type="dxa"/>
            <w:tcBorders/>
            <w:vAlign w:val="center"/>
          </w:tcPr>
          <w:p>
            <w:pPr>
              <w:pStyle w:val="TableContents"/>
              <w:bidi w:val="0"/>
              <w:spacing w:before="0" w:after="283"/>
              <w:jc w:val="left"/>
              <w:rPr/>
            </w:pPr>
            <w:r>
              <w:rPr/>
              <w:t> </w:t>
            </w:r>
          </w:p>
        </w:tc>
        <w:tc>
          <w:tcPr>
            <w:tcW w:w="410" w:type="dxa"/>
            <w:tcBorders/>
            <w:vAlign w:val="center"/>
          </w:tcPr>
          <w:p>
            <w:pPr>
              <w:pStyle w:val="TableContents"/>
              <w:bidi w:val="0"/>
              <w:spacing w:before="0" w:after="283"/>
              <w:jc w:val="left"/>
              <w:rPr/>
            </w:pPr>
            <w:r>
              <w:rPr/>
              <w:t> </w:t>
            </w:r>
          </w:p>
        </w:tc>
        <w:tc>
          <w:tcPr>
            <w:tcW w:w="3800" w:type="dxa"/>
            <w:tcBorders/>
            <w:vAlign w:val="center"/>
          </w:tcPr>
          <w:p>
            <w:pPr>
              <w:pStyle w:val="TableContents"/>
              <w:bidi w:val="0"/>
              <w:spacing w:before="0" w:after="283"/>
              <w:jc w:val="left"/>
              <w:rPr/>
            </w:pPr>
            <w:r>
              <w:rPr/>
              <w:t> </w:t>
            </w:r>
          </w:p>
        </w:tc>
      </w:tr>
      <w:tr>
        <w:trPr/>
        <w:tc>
          <w:tcPr>
            <w:tcW w:w="2105" w:type="dxa"/>
            <w:tcBorders/>
            <w:vAlign w:val="center"/>
          </w:tcPr>
          <w:p>
            <w:pPr>
              <w:pStyle w:val="TableContents"/>
              <w:bidi w:val="0"/>
              <w:spacing w:before="0" w:after="283"/>
              <w:jc w:val="left"/>
              <w:rPr/>
            </w:pPr>
            <w:r>
              <w:rPr/>
              <w:t> </w:t>
            </w:r>
          </w:p>
        </w:tc>
        <w:tc>
          <w:tcPr>
            <w:tcW w:w="41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By:  </w:t>
            </w:r>
          </w:p>
        </w:tc>
        <w:tc>
          <w:tcPr>
            <w:tcW w:w="3800"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 w:hAnsi="Times New Roman"/>
                <w:i/>
                <w:caps w:val="false"/>
                <w:smallCaps w:val="false"/>
                <w:sz w:val="20"/>
              </w:rPr>
            </w:pPr>
            <w:r>
              <w:rPr>
                <w:rFonts w:ascii="Times New Roman" w:hAnsi="Times New Roman"/>
                <w:i/>
                <w:caps w:val="false"/>
                <w:smallCaps w:val="false"/>
                <w:sz w:val="20"/>
              </w:rPr>
              <w:t>/s/ Mark L. Zajac</w:t>
            </w:r>
          </w:p>
        </w:tc>
      </w:tr>
      <w:tr>
        <w:trPr/>
        <w:tc>
          <w:tcPr>
            <w:tcW w:w="2105" w:type="dxa"/>
            <w:tcBorders/>
            <w:vAlign w:val="center"/>
          </w:tcPr>
          <w:p>
            <w:pPr>
              <w:pStyle w:val="TableContents"/>
              <w:bidi w:val="0"/>
              <w:spacing w:before="0" w:after="283"/>
              <w:jc w:val="left"/>
              <w:rPr/>
            </w:pPr>
            <w:r>
              <w:rPr/>
              <w:t> </w:t>
            </w:r>
          </w:p>
        </w:tc>
        <w:tc>
          <w:tcPr>
            <w:tcW w:w="410" w:type="dxa"/>
            <w:tcBorders/>
            <w:vAlign w:val="center"/>
          </w:tcPr>
          <w:p>
            <w:pPr>
              <w:pStyle w:val="TableContents"/>
              <w:bidi w:val="0"/>
              <w:spacing w:before="0" w:after="283"/>
              <w:jc w:val="left"/>
              <w:rPr/>
            </w:pPr>
            <w:r>
              <w:rPr/>
              <w:t> </w:t>
            </w:r>
          </w:p>
        </w:tc>
        <w:tc>
          <w:tcPr>
            <w:tcW w:w="3800" w:type="dxa"/>
            <w:tcBorders/>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Mark L. Zajac</w:t>
            </w:r>
          </w:p>
        </w:tc>
      </w:tr>
      <w:tr>
        <w:trPr/>
        <w:tc>
          <w:tcPr>
            <w:tcW w:w="2105" w:type="dxa"/>
            <w:tcBorders/>
            <w:vAlign w:val="center"/>
          </w:tcPr>
          <w:p>
            <w:pPr>
              <w:pStyle w:val="TableContents"/>
              <w:bidi w:val="0"/>
              <w:spacing w:before="0" w:after="283"/>
              <w:jc w:val="left"/>
              <w:rPr/>
            </w:pPr>
            <w:r>
              <w:rPr/>
              <w:t> </w:t>
            </w:r>
          </w:p>
        </w:tc>
        <w:tc>
          <w:tcPr>
            <w:tcW w:w="410" w:type="dxa"/>
            <w:tcBorders/>
            <w:vAlign w:val="center"/>
          </w:tcPr>
          <w:p>
            <w:pPr>
              <w:pStyle w:val="TableContents"/>
              <w:bidi w:val="0"/>
              <w:spacing w:before="0" w:after="283"/>
              <w:jc w:val="left"/>
              <w:rPr/>
            </w:pPr>
            <w:r>
              <w:rPr/>
              <w:t> </w:t>
            </w:r>
          </w:p>
        </w:tc>
        <w:tc>
          <w:tcPr>
            <w:tcW w:w="3800" w:type="dxa"/>
            <w:tcBorders/>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Chief Financial Officer</w:t>
            </w:r>
          </w:p>
        </w:tc>
      </w:tr>
      <w:tr>
        <w:trPr/>
        <w:tc>
          <w:tcPr>
            <w:tcW w:w="2105" w:type="dxa"/>
            <w:tcBorders/>
            <w:vAlign w:val="center"/>
          </w:tcPr>
          <w:p>
            <w:pPr>
              <w:pStyle w:val="TableContents"/>
              <w:bidi w:val="0"/>
              <w:spacing w:before="0" w:after="283"/>
              <w:jc w:val="left"/>
              <w:rPr/>
            </w:pPr>
            <w:r>
              <w:rPr/>
              <w:t> </w:t>
            </w:r>
          </w:p>
        </w:tc>
        <w:tc>
          <w:tcPr>
            <w:tcW w:w="410" w:type="dxa"/>
            <w:tcBorders/>
            <w:vAlign w:val="center"/>
          </w:tcPr>
          <w:p>
            <w:pPr>
              <w:pStyle w:val="TableContents"/>
              <w:bidi w:val="0"/>
              <w:spacing w:before="0" w:after="283"/>
              <w:jc w:val="left"/>
              <w:rPr/>
            </w:pPr>
            <w:r>
              <w:rPr/>
              <w:t> </w:t>
            </w:r>
          </w:p>
        </w:tc>
        <w:tc>
          <w:tcPr>
            <w:tcW w:w="3800" w:type="dxa"/>
            <w:tcBorders/>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(Principal Financial and Accounting Officer)</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283"/>
        <w:jc w:val="left"/>
        <w:rPr/>
      </w:pPr>
      <w:r>
        <w:rPr/>
        <w:t> </w:t>
      </w:r>
    </w:p>
    <w:p>
      <w:pPr>
        <w:pStyle w:val="TextBody"/>
        <w:bidi w:val="0"/>
        <w:spacing w:before="0" w:after="0"/>
        <w:ind w:left="0" w:right="0" w:hanging="0"/>
        <w:jc w:val="right"/>
        <w:rPr>
          <w:rFonts w:ascii="Times New Roman" w:hAnsi="Times New Roman"/>
          <w:b/>
          <w:caps w:val="false"/>
          <w:smallCaps w:val="false"/>
          <w:sz w:val="20"/>
        </w:rPr>
      </w:pPr>
      <w:bookmarkStart w:id="29" w:name="ex_856570.htm"/>
      <w:bookmarkStart w:id="30" w:name="ksex_856570"/>
      <w:bookmarkEnd w:id="29"/>
      <w:bookmarkEnd w:id="30"/>
      <w:r>
        <w:rPr>
          <w:rFonts w:ascii="Times New Roman" w:hAnsi="Times New Roman"/>
          <w:b/>
          <w:caps w:val="false"/>
          <w:smallCaps w:val="false"/>
          <w:sz w:val="20"/>
        </w:rPr>
        <w:t>Exhibit 32.1</w:t>
      </w:r>
      <w:r>
        <w:br w:type="page"/>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CERTIFICATION PURSUANT TO</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18 U.S.C. SECTION 1350, AS ADOPTED PURSUANT TO</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SECTION 906 OF THE SARBANES-OXLEY ACT OF 2002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40"/>
        <w:jc w:val="both"/>
        <w:rPr>
          <w:rFonts w:ascii="Times New Roman" w:hAnsi="Times New Roman"/>
          <w:caps w:val="false"/>
          <w:smallCaps w:val="false"/>
          <w:sz w:val="20"/>
        </w:rPr>
      </w:pPr>
      <w:r>
        <w:rPr>
          <w:rFonts w:ascii="Times New Roman" w:hAnsi="Times New Roman"/>
          <w:caps w:val="false"/>
          <w:smallCaps w:val="false"/>
          <w:sz w:val="20"/>
        </w:rPr>
        <w:t>In connection with the Quarterly Report on Form 10-Q of U.S. Energy Corp. (the “Company”) for the period ended </w:t>
      </w:r>
      <w:bookmarkStart w:id="31" w:name="led455153F2023871694110006283"/>
      <w:bookmarkEnd w:id="31"/>
      <w:r>
        <w:rPr>
          <w:rFonts w:ascii="Times New Roman" w:hAnsi="Times New Roman"/>
          <w:caps w:val="false"/>
          <w:smallCaps w:val="false"/>
          <w:sz w:val="20"/>
        </w:rPr>
        <w:t>September 30, 2025 as filed with the Securities and Exchange Commission on the date hereof (the “Report”), I Ryan L. Smith, certify, pursuant to 18 U.S.C. § 1350, as adopted pursuant to § 906 of the Sarbanes-Oxley Act of 2002, to my knowledge, that:</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222"/>
        <w:gridCol w:w="9923"/>
      </w:tblGrid>
      <w:tr>
        <w:trPr/>
        <w:tc>
          <w:tcPr>
            <w:tcW w:w="60" w:type="dxa"/>
            <w:tcBorders/>
            <w:vAlign w:val="center"/>
          </w:tcPr>
          <w:p>
            <w:pPr>
              <w:pStyle w:val="TableContents"/>
              <w:bidi w:val="0"/>
              <w:spacing w:before="0" w:after="283"/>
              <w:jc w:val="left"/>
              <w:rPr/>
            </w:pPr>
            <w:r>
              <w:rPr/>
              <w:t> </w:t>
            </w:r>
          </w:p>
        </w:tc>
        <w:tc>
          <w:tcPr>
            <w:tcW w:w="222"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(1)</w:t>
            </w:r>
          </w:p>
        </w:tc>
        <w:tc>
          <w:tcPr>
            <w:tcW w:w="9923"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The Report fully complies with the requirements of Section 13(a) or 15(d) of the Securities Exchange Act of 1934; and</w:t>
            </w:r>
          </w:p>
        </w:tc>
      </w:tr>
      <w:tr>
        <w:trPr/>
        <w:tc>
          <w:tcPr>
            <w:tcW w:w="60" w:type="dxa"/>
            <w:tcBorders/>
            <w:vAlign w:val="center"/>
          </w:tcPr>
          <w:p>
            <w:pPr>
              <w:pStyle w:val="TableContents"/>
              <w:bidi w:val="0"/>
              <w:spacing w:before="0" w:after="283"/>
              <w:jc w:val="left"/>
              <w:rPr/>
            </w:pPr>
            <w:r>
              <w:rPr/>
              <w:t> </w:t>
            </w:r>
          </w:p>
        </w:tc>
        <w:tc>
          <w:tcPr>
            <w:tcW w:w="222" w:type="dxa"/>
            <w:tcBorders/>
            <w:vAlign w:val="center"/>
          </w:tcPr>
          <w:p>
            <w:pPr>
              <w:pStyle w:val="TableContents"/>
              <w:bidi w:val="0"/>
              <w:spacing w:before="0" w:after="283"/>
              <w:jc w:val="left"/>
              <w:rPr/>
            </w:pPr>
            <w:r>
              <w:rPr/>
              <w:t> </w:t>
            </w:r>
          </w:p>
        </w:tc>
        <w:tc>
          <w:tcPr>
            <w:tcW w:w="9923" w:type="dxa"/>
            <w:tcBorders/>
            <w:vAlign w:val="center"/>
          </w:tcPr>
          <w:p>
            <w:pPr>
              <w:pStyle w:val="TableContents"/>
              <w:bidi w:val="0"/>
              <w:spacing w:before="0" w:after="0"/>
              <w:ind w:left="0" w:right="0" w:hanging="0"/>
              <w:jc w:val="left"/>
              <w:rPr/>
            </w:pPr>
            <w:r>
              <w:rPr/>
              <w:t> </w:t>
            </w:r>
          </w:p>
        </w:tc>
      </w:tr>
      <w:tr>
        <w:trPr/>
        <w:tc>
          <w:tcPr>
            <w:tcW w:w="60" w:type="dxa"/>
            <w:tcBorders/>
            <w:vAlign w:val="center"/>
          </w:tcPr>
          <w:p>
            <w:pPr>
              <w:pStyle w:val="TableContents"/>
              <w:bidi w:val="0"/>
              <w:spacing w:before="0" w:after="283"/>
              <w:jc w:val="left"/>
              <w:rPr/>
            </w:pPr>
            <w:r>
              <w:rPr/>
              <w:t> </w:t>
            </w:r>
          </w:p>
        </w:tc>
        <w:tc>
          <w:tcPr>
            <w:tcW w:w="222"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(2)</w:t>
            </w:r>
          </w:p>
        </w:tc>
        <w:tc>
          <w:tcPr>
            <w:tcW w:w="9923"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The information contained in the Report fairly presents, in all material respects, the financial condition and results of operations of the Company, at the dates and for the periods indicated.</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 xml:space="preserve">Date: </w:t>
      </w:r>
      <w:bookmarkStart w:id="32" w:name="led455153F2023871694110014021"/>
      <w:bookmarkEnd w:id="32"/>
      <w:r>
        <w:rPr>
          <w:rFonts w:ascii="Times New Roman" w:hAnsi="Times New Roman"/>
          <w:caps w:val="false"/>
          <w:smallCaps w:val="false"/>
          <w:sz w:val="20"/>
        </w:rPr>
        <w:t>November 12, 2025</w:t>
      </w:r>
    </w:p>
    <w:p>
      <w:pPr>
        <w:pStyle w:val="TextBody"/>
        <w:bidi w:val="0"/>
        <w:spacing w:before="0" w:after="0"/>
        <w:ind w:left="0" w:right="0" w:hanging="0"/>
        <w:jc w:val="left"/>
        <w:rPr>
          <w:caps w:val="false"/>
          <w:smallCaps w:val="false"/>
        </w:rPr>
      </w:pPr>
      <w:r>
        <w:rPr>
          <w:caps w:val="false"/>
          <w:smallCaps w:val="false"/>
        </w:rPr>
        <w:t> </w:t>
      </w:r>
    </w:p>
    <w:tbl>
      <w:tblPr>
        <w:tblW w:w="2935" w:type="dxa"/>
        <w:jc w:val="left"/>
        <w:tblInd w:w="0" w:type="dxa"/>
        <w:tblLayout w:type="fixed"/>
        <w:tblCellMar>
          <w:top w:w="0" w:type="dxa"/>
          <w:left w:w="0" w:type="dxa"/>
          <w:bottom w:w="0" w:type="dxa"/>
          <w:right w:w="0" w:type="dxa"/>
        </w:tblCellMar>
      </w:tblPr>
      <w:tblGrid>
        <w:gridCol w:w="60"/>
        <w:gridCol w:w="410"/>
        <w:gridCol w:w="2465"/>
      </w:tblGrid>
      <w:tr>
        <w:trPr/>
        <w:tc>
          <w:tcPr>
            <w:tcW w:w="60" w:type="dxa"/>
            <w:tcBorders/>
            <w:vAlign w:val="center"/>
          </w:tcPr>
          <w:p>
            <w:pPr>
              <w:pStyle w:val="TableContents"/>
              <w:bidi w:val="0"/>
              <w:spacing w:before="0" w:after="283"/>
              <w:jc w:val="left"/>
              <w:rPr/>
            </w:pPr>
            <w:r>
              <w:rPr/>
              <w:t> </w:t>
            </w:r>
          </w:p>
        </w:tc>
        <w:tc>
          <w:tcPr>
            <w:tcW w:w="41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By:  </w:t>
            </w:r>
          </w:p>
        </w:tc>
        <w:tc>
          <w:tcPr>
            <w:tcW w:w="2465"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 w:hAnsi="Times New Roman"/>
                <w:i/>
                <w:caps w:val="false"/>
                <w:smallCaps w:val="false"/>
                <w:sz w:val="20"/>
              </w:rPr>
            </w:pPr>
            <w:r>
              <w:rPr>
                <w:rFonts w:ascii="Times New Roman" w:hAnsi="Times New Roman"/>
                <w:i/>
                <w:caps w:val="false"/>
                <w:smallCaps w:val="false"/>
                <w:sz w:val="20"/>
              </w:rPr>
              <w:t>/s/ Ryan L. Smith</w:t>
            </w:r>
          </w:p>
        </w:tc>
      </w:tr>
      <w:tr>
        <w:trPr/>
        <w:tc>
          <w:tcPr>
            <w:tcW w:w="60" w:type="dxa"/>
            <w:tcBorders/>
            <w:vAlign w:val="center"/>
          </w:tcPr>
          <w:p>
            <w:pPr>
              <w:pStyle w:val="TableContents"/>
              <w:bidi w:val="0"/>
              <w:spacing w:before="0" w:after="283"/>
              <w:jc w:val="left"/>
              <w:rPr/>
            </w:pPr>
            <w:r>
              <w:rPr/>
              <w:t> </w:t>
            </w:r>
          </w:p>
        </w:tc>
        <w:tc>
          <w:tcPr>
            <w:tcW w:w="410" w:type="dxa"/>
            <w:tcBorders/>
            <w:vAlign w:val="center"/>
          </w:tcPr>
          <w:p>
            <w:pPr>
              <w:pStyle w:val="TableContents"/>
              <w:bidi w:val="0"/>
              <w:spacing w:before="0" w:after="283"/>
              <w:jc w:val="left"/>
              <w:rPr/>
            </w:pPr>
            <w:r>
              <w:rPr/>
              <w:t> </w:t>
            </w:r>
          </w:p>
        </w:tc>
        <w:tc>
          <w:tcPr>
            <w:tcW w:w="2465" w:type="dxa"/>
            <w:tcBorders/>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Ryan L. Smith</w:t>
            </w:r>
          </w:p>
        </w:tc>
      </w:tr>
      <w:tr>
        <w:trPr/>
        <w:tc>
          <w:tcPr>
            <w:tcW w:w="60" w:type="dxa"/>
            <w:tcBorders/>
            <w:vAlign w:val="center"/>
          </w:tcPr>
          <w:p>
            <w:pPr>
              <w:pStyle w:val="TableContents"/>
              <w:bidi w:val="0"/>
              <w:spacing w:before="0" w:after="283"/>
              <w:jc w:val="left"/>
              <w:rPr/>
            </w:pPr>
            <w:r>
              <w:rPr/>
              <w:t> </w:t>
            </w:r>
          </w:p>
        </w:tc>
        <w:tc>
          <w:tcPr>
            <w:tcW w:w="410" w:type="dxa"/>
            <w:tcBorders/>
            <w:vAlign w:val="center"/>
          </w:tcPr>
          <w:p>
            <w:pPr>
              <w:pStyle w:val="TableContents"/>
              <w:bidi w:val="0"/>
              <w:spacing w:before="0" w:after="283"/>
              <w:jc w:val="left"/>
              <w:rPr/>
            </w:pPr>
            <w:r>
              <w:rPr/>
              <w:t> </w:t>
            </w:r>
          </w:p>
        </w:tc>
        <w:tc>
          <w:tcPr>
            <w:tcW w:w="2465" w:type="dxa"/>
            <w:tcBorders/>
            <w:vAlign w:val="center"/>
          </w:tcPr>
          <w:p>
            <w:pPr>
              <w:pStyle w:val="TableContents"/>
              <w:bidi w:val="0"/>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 xml:space="preserve">Chief Executive Officer </w:t>
            </w:r>
          </w:p>
          <w:p>
            <w:pPr>
              <w:pStyle w:val="TableContents"/>
              <w:bidi w:val="0"/>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(Principal Executive Officer)</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283"/>
        <w:jc w:val="left"/>
        <w:rPr/>
      </w:pPr>
      <w:r>
        <w:rPr/>
        <w:t> </w:t>
      </w:r>
    </w:p>
    <w:p>
      <w:pPr>
        <w:pStyle w:val="TextBody"/>
        <w:bidi w:val="0"/>
        <w:spacing w:before="0" w:after="0"/>
        <w:ind w:left="0" w:right="0" w:hanging="0"/>
        <w:jc w:val="right"/>
        <w:rPr>
          <w:rFonts w:ascii="Times New Roman" w:hAnsi="Times New Roman"/>
          <w:b/>
          <w:caps w:val="false"/>
          <w:smallCaps w:val="false"/>
          <w:sz w:val="20"/>
        </w:rPr>
      </w:pPr>
      <w:bookmarkStart w:id="33" w:name="ex_856571.htm"/>
      <w:bookmarkStart w:id="34" w:name="ksex_856571"/>
      <w:bookmarkEnd w:id="33"/>
      <w:bookmarkEnd w:id="34"/>
      <w:r>
        <w:rPr>
          <w:rFonts w:ascii="Times New Roman" w:hAnsi="Times New Roman"/>
          <w:b/>
          <w:caps w:val="false"/>
          <w:smallCaps w:val="false"/>
          <w:sz w:val="20"/>
        </w:rPr>
        <w:t>Exhibit 32.2</w:t>
      </w:r>
      <w:r>
        <w:br w:type="page"/>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CERTIFICATION PURSUANT TO</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18 U.S.C. SECTION 1350, AS ADOPTED PURSUANT TO</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SECTION 906 OF THE SARBANES-OXLEY ACT OF 2002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40"/>
        <w:jc w:val="both"/>
        <w:rPr>
          <w:rFonts w:ascii="Times New Roman" w:hAnsi="Times New Roman"/>
          <w:caps w:val="false"/>
          <w:smallCaps w:val="false"/>
          <w:sz w:val="20"/>
        </w:rPr>
      </w:pPr>
      <w:r>
        <w:rPr>
          <w:rFonts w:ascii="Times New Roman" w:hAnsi="Times New Roman"/>
          <w:caps w:val="false"/>
          <w:smallCaps w:val="false"/>
          <w:sz w:val="20"/>
        </w:rPr>
        <w:t>In connection with the Quarterly Report on Form 10-Q of U.S. Energy Corp. (the “Company”) for the period ended </w:t>
      </w:r>
      <w:bookmarkStart w:id="35" w:name="led455153F2023871694110033263"/>
      <w:bookmarkEnd w:id="35"/>
      <w:r>
        <w:rPr>
          <w:rFonts w:ascii="Times New Roman" w:hAnsi="Times New Roman"/>
          <w:caps w:val="false"/>
          <w:smallCaps w:val="false"/>
          <w:sz w:val="20"/>
        </w:rPr>
        <w:t>September 30, 2025 as filed with the Securities and Exchange Commission on the date hereof (the “Report”), I Mark L. Zajac, certify, pursuant to 18 U.S.C. § 1350, as adopted pursuant to § 906 of the Sarbanes-Oxley Act of 2002, to my knowledge, that:</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222"/>
        <w:gridCol w:w="9923"/>
      </w:tblGrid>
      <w:tr>
        <w:trPr/>
        <w:tc>
          <w:tcPr>
            <w:tcW w:w="60" w:type="dxa"/>
            <w:tcBorders/>
            <w:vAlign w:val="center"/>
          </w:tcPr>
          <w:p>
            <w:pPr>
              <w:pStyle w:val="TableContents"/>
              <w:bidi w:val="0"/>
              <w:spacing w:before="0" w:after="283"/>
              <w:jc w:val="left"/>
              <w:rPr/>
            </w:pPr>
            <w:r>
              <w:rPr/>
              <w:t> </w:t>
            </w:r>
          </w:p>
        </w:tc>
        <w:tc>
          <w:tcPr>
            <w:tcW w:w="222"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(1)</w:t>
            </w:r>
          </w:p>
        </w:tc>
        <w:tc>
          <w:tcPr>
            <w:tcW w:w="9923"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The Report fully complies with the requirements of Section 13(a) or 15(d) of the Securities Exchange Act of 1934; and</w:t>
            </w:r>
          </w:p>
        </w:tc>
      </w:tr>
      <w:tr>
        <w:trPr/>
        <w:tc>
          <w:tcPr>
            <w:tcW w:w="60" w:type="dxa"/>
            <w:tcBorders/>
            <w:vAlign w:val="center"/>
          </w:tcPr>
          <w:p>
            <w:pPr>
              <w:pStyle w:val="TableContents"/>
              <w:bidi w:val="0"/>
              <w:spacing w:before="0" w:after="283"/>
              <w:jc w:val="left"/>
              <w:rPr/>
            </w:pPr>
            <w:r>
              <w:rPr/>
              <w:t> </w:t>
            </w:r>
          </w:p>
        </w:tc>
        <w:tc>
          <w:tcPr>
            <w:tcW w:w="222" w:type="dxa"/>
            <w:tcBorders/>
            <w:vAlign w:val="center"/>
          </w:tcPr>
          <w:p>
            <w:pPr>
              <w:pStyle w:val="TableContents"/>
              <w:bidi w:val="0"/>
              <w:spacing w:before="0" w:after="283"/>
              <w:jc w:val="left"/>
              <w:rPr/>
            </w:pPr>
            <w:r>
              <w:rPr/>
              <w:t> </w:t>
            </w:r>
          </w:p>
        </w:tc>
        <w:tc>
          <w:tcPr>
            <w:tcW w:w="9923" w:type="dxa"/>
            <w:tcBorders/>
            <w:vAlign w:val="center"/>
          </w:tcPr>
          <w:p>
            <w:pPr>
              <w:pStyle w:val="TableContents"/>
              <w:bidi w:val="0"/>
              <w:spacing w:before="0" w:after="0"/>
              <w:ind w:left="0" w:right="0" w:hanging="0"/>
              <w:jc w:val="left"/>
              <w:rPr/>
            </w:pPr>
            <w:r>
              <w:rPr/>
              <w:t> </w:t>
            </w:r>
          </w:p>
        </w:tc>
      </w:tr>
      <w:tr>
        <w:trPr/>
        <w:tc>
          <w:tcPr>
            <w:tcW w:w="60" w:type="dxa"/>
            <w:tcBorders/>
            <w:vAlign w:val="center"/>
          </w:tcPr>
          <w:p>
            <w:pPr>
              <w:pStyle w:val="TableContents"/>
              <w:bidi w:val="0"/>
              <w:spacing w:before="0" w:after="283"/>
              <w:jc w:val="left"/>
              <w:rPr/>
            </w:pPr>
            <w:r>
              <w:rPr/>
              <w:t> </w:t>
            </w:r>
          </w:p>
        </w:tc>
        <w:tc>
          <w:tcPr>
            <w:tcW w:w="222"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(2)</w:t>
            </w:r>
          </w:p>
        </w:tc>
        <w:tc>
          <w:tcPr>
            <w:tcW w:w="9923"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The information contained in the Report fairly presents, in all material respects, the financial condition and results of operations of the Company, at the dates and for the periods indicated.</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 xml:space="preserve">Date: </w:t>
      </w:r>
      <w:bookmarkStart w:id="36" w:name="led455153F2023871694110039473"/>
      <w:bookmarkEnd w:id="36"/>
      <w:r>
        <w:rPr>
          <w:rFonts w:ascii="Times New Roman" w:hAnsi="Times New Roman"/>
          <w:caps w:val="false"/>
          <w:smallCaps w:val="false"/>
          <w:sz w:val="20"/>
        </w:rPr>
        <w:t>November 12, 2025</w:t>
      </w:r>
    </w:p>
    <w:p>
      <w:pPr>
        <w:pStyle w:val="TextBody"/>
        <w:bidi w:val="0"/>
        <w:spacing w:before="0" w:after="0"/>
        <w:ind w:left="0" w:right="0" w:hanging="0"/>
        <w:jc w:val="left"/>
        <w:rPr>
          <w:caps w:val="false"/>
          <w:smallCaps w:val="false"/>
        </w:rPr>
      </w:pPr>
      <w:r>
        <w:rPr>
          <w:caps w:val="false"/>
          <w:smallCaps w:val="false"/>
        </w:rPr>
        <w:t> </w:t>
      </w:r>
    </w:p>
    <w:tbl>
      <w:tblPr>
        <w:tblW w:w="4270" w:type="dxa"/>
        <w:jc w:val="left"/>
        <w:tblInd w:w="0" w:type="dxa"/>
        <w:tblLayout w:type="fixed"/>
        <w:tblCellMar>
          <w:top w:w="0" w:type="dxa"/>
          <w:left w:w="0" w:type="dxa"/>
          <w:bottom w:w="0" w:type="dxa"/>
          <w:right w:w="0" w:type="dxa"/>
        </w:tblCellMar>
      </w:tblPr>
      <w:tblGrid>
        <w:gridCol w:w="60"/>
        <w:gridCol w:w="410"/>
        <w:gridCol w:w="3800"/>
      </w:tblGrid>
      <w:tr>
        <w:trPr/>
        <w:tc>
          <w:tcPr>
            <w:tcW w:w="60" w:type="dxa"/>
            <w:tcBorders/>
            <w:vAlign w:val="center"/>
          </w:tcPr>
          <w:p>
            <w:pPr>
              <w:pStyle w:val="TableContents"/>
              <w:bidi w:val="0"/>
              <w:spacing w:before="0" w:after="283"/>
              <w:jc w:val="left"/>
              <w:rPr/>
            </w:pPr>
            <w:r>
              <w:rPr/>
              <w:t> </w:t>
            </w:r>
          </w:p>
        </w:tc>
        <w:tc>
          <w:tcPr>
            <w:tcW w:w="41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By:  </w:t>
            </w:r>
          </w:p>
        </w:tc>
        <w:tc>
          <w:tcPr>
            <w:tcW w:w="3800"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 w:hAnsi="Times New Roman"/>
                <w:i/>
                <w:caps w:val="false"/>
                <w:smallCaps w:val="false"/>
                <w:sz w:val="20"/>
              </w:rPr>
            </w:pPr>
            <w:r>
              <w:rPr>
                <w:rFonts w:ascii="Times New Roman" w:hAnsi="Times New Roman"/>
                <w:i/>
                <w:caps w:val="false"/>
                <w:smallCaps w:val="false"/>
                <w:sz w:val="20"/>
              </w:rPr>
              <w:t>/s/ Mark L. Zajac</w:t>
            </w:r>
          </w:p>
        </w:tc>
      </w:tr>
      <w:tr>
        <w:trPr/>
        <w:tc>
          <w:tcPr>
            <w:tcW w:w="60" w:type="dxa"/>
            <w:tcBorders/>
            <w:vAlign w:val="center"/>
          </w:tcPr>
          <w:p>
            <w:pPr>
              <w:pStyle w:val="TableContents"/>
              <w:bidi w:val="0"/>
              <w:spacing w:before="0" w:after="283"/>
              <w:jc w:val="left"/>
              <w:rPr/>
            </w:pPr>
            <w:r>
              <w:rPr/>
              <w:t> </w:t>
            </w:r>
          </w:p>
        </w:tc>
        <w:tc>
          <w:tcPr>
            <w:tcW w:w="410" w:type="dxa"/>
            <w:tcBorders/>
            <w:vAlign w:val="center"/>
          </w:tcPr>
          <w:p>
            <w:pPr>
              <w:pStyle w:val="TableContents"/>
              <w:bidi w:val="0"/>
              <w:spacing w:before="0" w:after="283"/>
              <w:jc w:val="left"/>
              <w:rPr/>
            </w:pPr>
            <w:r>
              <w:rPr/>
              <w:t> </w:t>
            </w:r>
          </w:p>
        </w:tc>
        <w:tc>
          <w:tcPr>
            <w:tcW w:w="3800" w:type="dxa"/>
            <w:tcBorders/>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Mark L. Zajac</w:t>
            </w:r>
          </w:p>
        </w:tc>
      </w:tr>
      <w:tr>
        <w:trPr/>
        <w:tc>
          <w:tcPr>
            <w:tcW w:w="60" w:type="dxa"/>
            <w:tcBorders/>
            <w:vAlign w:val="center"/>
          </w:tcPr>
          <w:p>
            <w:pPr>
              <w:pStyle w:val="TableContents"/>
              <w:bidi w:val="0"/>
              <w:spacing w:before="0" w:after="283"/>
              <w:jc w:val="left"/>
              <w:rPr/>
            </w:pPr>
            <w:r>
              <w:rPr/>
              <w:t> </w:t>
            </w:r>
          </w:p>
        </w:tc>
        <w:tc>
          <w:tcPr>
            <w:tcW w:w="410" w:type="dxa"/>
            <w:tcBorders/>
            <w:vAlign w:val="center"/>
          </w:tcPr>
          <w:p>
            <w:pPr>
              <w:pStyle w:val="TableContents"/>
              <w:bidi w:val="0"/>
              <w:spacing w:before="0" w:after="283"/>
              <w:jc w:val="left"/>
              <w:rPr/>
            </w:pPr>
            <w:r>
              <w:rPr/>
              <w:t> </w:t>
            </w:r>
          </w:p>
        </w:tc>
        <w:tc>
          <w:tcPr>
            <w:tcW w:w="3800" w:type="dxa"/>
            <w:tcBorders/>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 xml:space="preserve">Chief Financial Officer </w:t>
            </w:r>
          </w:p>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(Principal Financial and Accounting Officer)</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283"/>
        <w:jc w:val="left"/>
        <w:rPr/>
      </w:pPr>
      <w:r>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hyperlink" Target="http://www.sec.gov/Archives/edgar/data/101594/000149315222000753/ex10-6.htm" TargetMode="External"/><Relationship Id="rId4" Type="http://schemas.openxmlformats.org/officeDocument/2006/relationships/hyperlink" Target="http://www.sec.gov/Archives/edgar/data/101594/000143774925029515/ex_862565.htm" TargetMode="External"/><Relationship Id="rId5" Type="http://schemas.openxmlformats.org/officeDocument/2006/relationships/hyperlink" Target="http://www.sec.gov/Archives/edgar/data/101594/000143774925030792/ex_866588.htm" TargetMode="External"/><Relationship Id="rId6" Type="http://schemas.openxmlformats.org/officeDocument/2006/relationships/hyperlink" Target="http://www.sec.gov/Archives/edgar/data/101594/000143774925030792/ex_866589.htm" TargetMode="External"/><Relationship Id="rId7" Type="http://schemas.openxmlformats.org/officeDocument/2006/relationships/fontTable" Target="fontTable.xml"/><Relationship Id="rId8"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11</Pages>
  <Words>21009</Words>
  <Characters>113651</Characters>
  <CharactersWithSpaces>137003</CharactersWithSpaces>
  <Paragraphs>7337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