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Weinzierl John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 ENERGY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1616 S. VOSS, SUITE 725</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US ENERGY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USEG</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0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04/29/2026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545"/>
        <w:spacing w:after="0"/>
        <w:rPr>
          <w:sz w:val="20"/>
          <w:szCs w:val="20"/>
          <w:color w:val="auto"/>
        </w:rPr>
      </w:pPr>
      <w:r>
        <w:rPr>
          <w:rFonts w:ascii="Times New Roman" w:cs="Times New Roman" w:eastAsia="Times New Roman" w:hAnsi="Times New Roman"/>
          <w:sz w:val="17"/>
          <w:szCs w:val="17"/>
          <w:color w:val="0000FF"/>
        </w:rPr>
        <w:t>Member of 10% owner group</w:t>
      </w:r>
    </w:p>
    <w:p>
      <w:pPr>
        <w:spacing w:after="0" w:line="472"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17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TX</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77057</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96" w:lineRule="exact"/>
        <w:rPr>
          <w:sz w:val="24"/>
          <w:szCs w:val="24"/>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6"/>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2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6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92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497,826</w:t>
            </w:r>
            <w:r>
              <w:rPr>
                <w:rFonts w:ascii="Times New Roman" w:cs="Times New Roman" w:eastAsia="Times New Roman" w:hAnsi="Times New Roman"/>
                <w:sz w:val="22"/>
                <w:szCs w:val="22"/>
                <w:color w:val="008000"/>
                <w:w w:val="96"/>
                <w:vertAlign w:val="superscript"/>
              </w:rPr>
              <w:t>(1)</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500" w:type="dxa"/>
            <w:vAlign w:val="bottom"/>
            <w:tcBorders>
              <w:bottom w:val="single" w:sz="8" w:color="2C2C2C"/>
            </w:tcBorders>
            <w:gridSpan w:val="2"/>
          </w:tcPr>
          <w:p>
            <w:pPr>
              <w:ind w:left="500"/>
              <w:spacing w:after="0"/>
              <w:rPr>
                <w:sz w:val="20"/>
                <w:szCs w:val="20"/>
                <w:color w:val="auto"/>
              </w:rPr>
            </w:pPr>
            <w:r>
              <w:rPr>
                <w:rFonts w:ascii="Times New Roman" w:cs="Times New Roman" w:eastAsia="Times New Roman" w:hAnsi="Times New Roman"/>
                <w:sz w:val="17"/>
                <w:szCs w:val="17"/>
                <w:color w:val="0000FF"/>
              </w:rPr>
              <w:t>04/29/2026</w:t>
            </w: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6"/>
                <w:szCs w:val="26"/>
                <w:color w:val="0000FF"/>
                <w:vertAlign w:val="subscript"/>
              </w:rPr>
              <w:t>J</w:t>
            </w:r>
            <w:r>
              <w:rPr>
                <w:rFonts w:ascii="Times New Roman" w:cs="Times New Roman" w:eastAsia="Times New Roman" w:hAnsi="Times New Roman"/>
                <w:sz w:val="11"/>
                <w:szCs w:val="11"/>
                <w:color w:val="008000"/>
              </w:rPr>
              <w:t>(5)</w:t>
            </w:r>
          </w:p>
        </w:tc>
        <w:tc>
          <w:tcPr>
            <w:tcW w:w="8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1,818,000</w:t>
            </w:r>
          </w:p>
        </w:tc>
        <w:tc>
          <w:tcPr>
            <w:tcW w:w="4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540" w:type="dxa"/>
            <w:vAlign w:val="bottom"/>
            <w:tcBorders>
              <w:bottom w:val="single" w:sz="8" w:color="2C2C2C"/>
            </w:tcBorders>
          </w:tcPr>
          <w:p>
            <w:pPr>
              <w:ind w:left="2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w:t>
            </w:r>
          </w:p>
        </w:tc>
        <w:tc>
          <w:tcPr>
            <w:tcW w:w="8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1"/>
              </w:rPr>
              <w:t>3,832,326</w:t>
            </w:r>
            <w:r>
              <w:rPr>
                <w:rFonts w:ascii="Times New Roman" w:cs="Times New Roman" w:eastAsia="Times New Roman" w:hAnsi="Times New Roman"/>
                <w:sz w:val="22"/>
                <w:szCs w:val="22"/>
                <w:color w:val="008000"/>
                <w:w w:val="91"/>
                <w:vertAlign w:val="superscript"/>
              </w:rPr>
              <w:t>(1)(2)</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John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Alfred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Weinzierl</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2020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04/29/2026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909,000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w:t>
            </w: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4,033,893</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u/t/a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November</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spacing w:after="0" w:line="281" w:lineRule="exact"/>
              <w:rPr>
                <w:sz w:val="20"/>
                <w:szCs w:val="20"/>
                <w:color w:val="auto"/>
              </w:rPr>
            </w:pPr>
            <w:r>
              <w:rPr>
                <w:rFonts w:ascii="Times New Roman" w:cs="Times New Roman" w:eastAsia="Times New Roman" w:hAnsi="Times New Roman"/>
                <w:sz w:val="32"/>
                <w:szCs w:val="32"/>
                <w:color w:val="0000FF"/>
                <w:vertAlign w:val="subscript"/>
              </w:rPr>
              <w:t>2020</w:t>
            </w:r>
            <w:r>
              <w:rPr>
                <w:rFonts w:ascii="Times New Roman" w:cs="Times New Roman" w:eastAsia="Times New Roman" w:hAnsi="Times New Roman"/>
                <w:sz w:val="11"/>
                <w:szCs w:val="11"/>
                <w:color w:val="008000"/>
              </w:rPr>
              <w:t>(3)(4)</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for which</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4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500" w:type="dxa"/>
            <w:vAlign w:val="bottom"/>
            <w:gridSpan w:val="2"/>
          </w:tcPr>
          <w:p>
            <w:pPr>
              <w:ind w:left="500"/>
              <w:spacing w:after="0"/>
              <w:rPr>
                <w:sz w:val="20"/>
                <w:szCs w:val="20"/>
                <w:color w:val="auto"/>
              </w:rPr>
            </w:pPr>
            <w:r>
              <w:rPr>
                <w:rFonts w:ascii="Times New Roman" w:cs="Times New Roman" w:eastAsia="Times New Roman" w:hAnsi="Times New Roman"/>
                <w:sz w:val="17"/>
                <w:szCs w:val="17"/>
                <w:color w:val="0000FF"/>
              </w:rPr>
              <w:t>04/29/2026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ind w:left="100"/>
              <w:spacing w:after="0" w:line="213" w:lineRule="exact"/>
              <w:rPr>
                <w:sz w:val="20"/>
                <w:szCs w:val="20"/>
                <w:color w:val="auto"/>
              </w:rPr>
            </w:pPr>
            <w:r>
              <w:rPr>
                <w:rFonts w:ascii="Times New Roman" w:cs="Times New Roman" w:eastAsia="Times New Roman" w:hAnsi="Times New Roman"/>
                <w:sz w:val="24"/>
                <w:szCs w:val="24"/>
                <w:color w:val="0000FF"/>
                <w:vertAlign w:val="subscript"/>
              </w:rPr>
              <w:t>J</w:t>
            </w:r>
            <w:r>
              <w:rPr>
                <w:rFonts w:ascii="Times New Roman" w:cs="Times New Roman" w:eastAsia="Times New Roman" w:hAnsi="Times New Roman"/>
                <w:sz w:val="11"/>
                <w:szCs w:val="11"/>
                <w:color w:val="008000"/>
              </w:rPr>
              <w:t>(6)</w:t>
            </w:r>
          </w:p>
        </w:tc>
        <w:tc>
          <w:tcPr>
            <w:tcW w:w="8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909,000</w:t>
            </w:r>
          </w:p>
        </w:tc>
        <w:tc>
          <w:tcPr>
            <w:tcW w:w="4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ind w:left="220"/>
              <w:spacing w:after="0"/>
              <w:rPr>
                <w:sz w:val="20"/>
                <w:szCs w:val="20"/>
                <w:color w:val="auto"/>
              </w:rPr>
            </w:pPr>
            <w:r>
              <w:rPr>
                <w:rFonts w:ascii="Arial" w:cs="Arial" w:eastAsia="Arial" w:hAnsi="Arial"/>
                <w:sz w:val="17"/>
                <w:szCs w:val="17"/>
                <w:color w:val="auto"/>
                <w:w w:val="97"/>
              </w:rPr>
              <w:t>$</w:t>
            </w:r>
            <w:r>
              <w:rPr>
                <w:rFonts w:ascii="Times New Roman" w:cs="Times New Roman" w:eastAsia="Times New Roman" w:hAnsi="Times New Roman"/>
                <w:sz w:val="17"/>
                <w:szCs w:val="17"/>
                <w:color w:val="0000FF"/>
                <w:w w:val="97"/>
              </w:rPr>
              <w:t>1.1</w:t>
            </w:r>
          </w:p>
        </w:tc>
        <w:tc>
          <w:tcPr>
            <w:tcW w:w="80" w:type="dxa"/>
            <w:vAlign w:val="bottom"/>
          </w:tcPr>
          <w:p>
            <w:pPr>
              <w:spacing w:after="0"/>
              <w:rPr>
                <w:sz w:val="18"/>
                <w:szCs w:val="18"/>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rPr>
              <w:t>909,000</w:t>
            </w:r>
          </w:p>
        </w:tc>
        <w:tc>
          <w:tcPr>
            <w:tcW w:w="280" w:type="dxa"/>
            <w:vAlign w:val="bottom"/>
          </w:tcPr>
          <w:p>
            <w:pPr>
              <w:spacing w:after="0"/>
              <w:rPr>
                <w:sz w:val="18"/>
                <w:szCs w:val="18"/>
                <w:color w:val="auto"/>
              </w:rPr>
            </w:pPr>
          </w:p>
        </w:tc>
        <w:tc>
          <w:tcPr>
            <w:tcW w:w="6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spouse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2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serves as</w:t>
            </w: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trustee.</w:t>
            </w:r>
            <w:r>
              <w:rPr>
                <w:rFonts w:ascii="Times New Roman" w:cs="Times New Roman" w:eastAsia="Times New Roman" w:hAnsi="Times New Roman"/>
                <w:sz w:val="22"/>
                <w:szCs w:val="22"/>
                <w:color w:val="008000"/>
                <w:vertAlign w:val="superscript"/>
              </w:rPr>
              <w:t>(4)</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20" w:type="dxa"/>
            <w:vAlign w:val="bottom"/>
            <w:gridSpan w:val="17"/>
          </w:tcPr>
          <w:p>
            <w:pPr>
              <w:ind w:left="8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5260" w:type="dxa"/>
            <w:vAlign w:val="bottom"/>
            <w:gridSpan w:val="13"/>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100"/>
              <w:spacing w:after="0"/>
              <w:rPr>
                <w:sz w:val="20"/>
                <w:szCs w:val="20"/>
                <w:color w:val="auto"/>
              </w:rPr>
            </w:pPr>
            <w:r>
              <w:rPr>
                <w:rFonts w:ascii="Arial" w:cs="Arial" w:eastAsia="Arial" w:hAnsi="Arial"/>
                <w:sz w:val="12"/>
                <w:szCs w:val="12"/>
                <w:b w:val="1"/>
                <w:bCs w:val="1"/>
                <w:color w:val="auto"/>
              </w:rPr>
              <w:t>V</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gridSpan w:val="3"/>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Weinzierl John A</w:t>
              </w:r>
            </w:hyperlink>
          </w:p>
        </w:tc>
        <w:tc>
          <w:tcPr>
            <w:tcW w:w="1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-2450465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U.S. ENERGY 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1616 S. VOSS, SUITE 725</w:t>
      </w:r>
    </w:p>
    <w:p>
      <w:pPr>
        <w:spacing w:after="0" w:line="299"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38" w:orient="portrait"/>
          <w:cols w:equalWidth="0" w:num="1">
            <w:col w:w="11080"/>
          </w:cols>
          <w:pgMar w:left="460" w:top="219" w:right="359" w:bottom="0" w:gutter="0" w:footer="0" w:header="0"/>
          <w:type w:val="continuous"/>
        </w:sectPr>
      </w:pPr>
    </w:p>
    <w:p>
      <w:pPr>
        <w:spacing w:after="0" w:line="35" w:lineRule="exact"/>
        <w:rPr>
          <w:sz w:val="24"/>
          <w:szCs w:val="24"/>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HOUSTON</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7"/>
          <w:szCs w:val="17"/>
          <w:color w:val="0000FF"/>
        </w:rPr>
        <w:t>77057</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37947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809240" cy="3794760"/>
                    </a:xfrm>
                    <a:prstGeom prst="rect">
                      <a:avLst/>
                    </a:prstGeom>
                    <a:noFill/>
                  </pic:spPr>
                </pic:pic>
              </a:graphicData>
            </a:graphic>
          </wp:anchor>
        </w:drawing>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153"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John Alfred Weinzierl 2020 Trust u/a November</w:t>
        </w:r>
      </w:hyperlink>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10, 2020</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1616 S. VOSS RD</w:t>
      </w:r>
    </w:p>
    <w:p>
      <w:pPr>
        <w:spacing w:after="0" w:line="7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SUITE 530</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2"/>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19">
              <w:r>
                <w:rPr>
                  <w:rFonts w:ascii="Times New Roman" w:cs="Times New Roman" w:eastAsia="Times New Roman" w:hAnsi="Times New Roman"/>
                  <w:sz w:val="21"/>
                  <w:szCs w:val="21"/>
                  <w:color w:val="0000EE"/>
                </w:rPr>
                <w:t>Katla Energy Holdings LLC</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130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(Last)</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6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1616 S VOSS RD, SUITE 530</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8"/>
        </w:trPr>
        <w:tc>
          <w:tcPr>
            <w:tcW w:w="100" w:type="dxa"/>
            <w:vAlign w:val="bottom"/>
          </w:tcPr>
          <w:p>
            <w:pPr>
              <w:spacing w:after="0"/>
              <w:rPr>
                <w:sz w:val="18"/>
                <w:szCs w:val="18"/>
                <w:color w:val="auto"/>
              </w:rPr>
            </w:pPr>
          </w:p>
        </w:tc>
        <w:tc>
          <w:tcPr>
            <w:tcW w:w="1120" w:type="dxa"/>
            <w:vAlign w:val="bottom"/>
            <w:tcBorders>
              <w:bottom w:val="single" w:sz="8" w:color="9A9A9A"/>
            </w:tcBorders>
          </w:tcPr>
          <w:p>
            <w:pPr>
              <w:spacing w:after="0"/>
              <w:rPr>
                <w:sz w:val="18"/>
                <w:szCs w:val="18"/>
                <w:color w:val="auto"/>
              </w:rPr>
            </w:pPr>
          </w:p>
        </w:tc>
        <w:tc>
          <w:tcPr>
            <w:tcW w:w="1300" w:type="dxa"/>
            <w:vAlign w:val="bottom"/>
            <w:tcBorders>
              <w:bottom w:val="single" w:sz="8" w:color="9A9A9A"/>
            </w:tcBorders>
          </w:tcPr>
          <w:p>
            <w:pPr>
              <w:spacing w:after="0"/>
              <w:rPr>
                <w:sz w:val="18"/>
                <w:szCs w:val="18"/>
                <w:color w:val="auto"/>
              </w:rPr>
            </w:pPr>
          </w:p>
        </w:tc>
        <w:tc>
          <w:tcPr>
            <w:tcW w:w="240" w:type="dxa"/>
            <w:vAlign w:val="bottom"/>
            <w:tcBorders>
              <w:bottom w:val="single" w:sz="8" w:color="9A9A9A"/>
            </w:tcBorders>
          </w:tcPr>
          <w:p>
            <w:pPr>
              <w:spacing w:after="0"/>
              <w:rPr>
                <w:sz w:val="18"/>
                <w:szCs w:val="18"/>
                <w:color w:val="auto"/>
              </w:rPr>
            </w:pPr>
          </w:p>
        </w:tc>
        <w:tc>
          <w:tcPr>
            <w:tcW w:w="1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69"/>
        </w:trPr>
        <w:tc>
          <w:tcPr>
            <w:tcW w:w="12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HOUSTON</w:t>
            </w:r>
          </w:p>
        </w:tc>
        <w:tc>
          <w:tcPr>
            <w:tcW w:w="1540" w:type="dxa"/>
            <w:vAlign w:val="bottom"/>
            <w:gridSpan w:val="2"/>
          </w:tcPr>
          <w:p>
            <w:pPr>
              <w:ind w:left="28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77057</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1540" w:type="dxa"/>
            <w:vAlign w:val="bottom"/>
            <w:gridSpan w:val="2"/>
          </w:tcPr>
          <w:p>
            <w:pPr>
              <w:ind w:left="28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Excludes shares of Common Stock relating to the voting group described below under "Remarks". Represents shares of common stock, $0.01 par value per share of the Issuer ("Common Stock"), held by Mr. Weinzierl directly. This Form 4 is filed jointly by John A. Weinzierl and Katla. Mr. Weinzierl is the 100% owner of all of the equity of Katla. Mr. Weinzierl is also the Chairman of U.S. Energy Corp. and is the Trustee of the Trust (defined below). Mr. Weinzierl disclaims beneficial ownership of the securities reported herein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20" w:right="28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Excludes shares of Common Stock relating to the voting group described below under "Remarks". Represents shares of Common Stock held directly by Katla Energy Holdings LLC ("Katla"). The shares held by Katla may be deemed to be beneficially owned by Mr. Weinzierl due to his ownership of 100% of Katla and his position as Managing Member of Katla.</w:t>
      </w:r>
    </w:p>
    <w:p>
      <w:pPr>
        <w:spacing w:after="0" w:line="7" w:lineRule="exact"/>
        <w:rPr>
          <w:rFonts w:ascii="Times New Roman" w:cs="Times New Roman" w:eastAsia="Times New Roman" w:hAnsi="Times New Roman"/>
          <w:sz w:val="13"/>
          <w:szCs w:val="13"/>
          <w:color w:val="008000"/>
        </w:rPr>
      </w:pPr>
    </w:p>
    <w:p>
      <w:pPr>
        <w:ind w:left="20" w:right="1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Excludes shares of Common Stock relating to the voting group described below under "Remarks". Represents shares of Common Stock held by John Alfred Weinzierl 2020 Trust, u/t/a November 10, 2020 (the "Trust"). The shares held by the Trust may be deemed to be beneficially owned by Mr. Weinzierl due to his position as Trustee of the Trust.</w:t>
      </w:r>
    </w:p>
    <w:p>
      <w:pPr>
        <w:spacing w:after="0" w:line="7"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Weinzierl disclaims beneficial ownership other than to the extent of his pecuniary interest therein.</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Distribution of shares by Katla to Mr. Weinzierl and spouse.</w:t>
      </w:r>
    </w:p>
    <w:p>
      <w:pPr>
        <w:spacing w:after="0" w:line="5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Gifts by Mr. Weinzierl and spouse to trusts.</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3"/>
          <w:szCs w:val="13"/>
          <w:color w:val="008000"/>
        </w:rPr>
        <w:t>By virtue of being party to an Amendment and Restated Nominating and Voting Agreement, dated as of September 16, 2022 (the "Voting Agreement"), Katla and Mr. Weinzierl, may be deemed to be a member of a "group" for purposes of Section 13(d) of the Securities Exchange Act of 1934, as amended (the "Exchange Act"), with respect to the securities reported herein with the other parties who are bound by the Voting Agreement and their control persons, which such "group" beneficially owns, in the aggregate, more than 10% of the outstanding shares of common stock of the Issuer. In addition to Lubbock Energy, the parties to the Voting Agreement are the Issuer, Lubbock Energy Partners LLC; Synergy Offshore LLC; Banner Oil &amp; Gas, LLC, Woodford Petroleum, LLC, Llano Energy LLC, King Oil &amp; Gas Company, Inc., WDM Family Partnership, LP and Katla. Separately, the control persons of the other parties to the Voting Agreement may also be part of the Section 13(d) "group". The reporting persons disclaim beneficial ownership of any securities owned by any of the other signatories to the Voting Agreement (and/or their control persons) and the filing of this Form 4 shall not be deemed an admission, for purposes of Section 16 of the Exchange Act or otherwise, that any of the reporting persons and any other person or persons constitute a "group" for purposes of Section 13(d)(3) of the Exchange Act or Rule 13d-5 thereunder. In addition, none of the reporting persons have any pecuniary interest in any of the securities beneficially owned by any of the other signatories to the Voting Agreement (and/or their control persons). For a description of the Voting Agreement, see the Current Report on Form 8-K filed by the Issuer with the United States Securities and Exchange Commission on September 16, 2022.</w:t>
      </w:r>
    </w:p>
    <w:p>
      <w:pPr>
        <w:sectPr>
          <w:pgSz w:w="11900" w:h="16838" w:orient="portrait"/>
          <w:cols w:equalWidth="0" w:num="1">
            <w:col w:w="10880"/>
          </w:cols>
          <w:pgMar w:left="480" w:top="167" w:right="539" w:bottom="1440" w:gutter="0" w:footer="0" w:header="0"/>
        </w:sectPr>
      </w:pPr>
    </w:p>
    <w:p>
      <w:pPr>
        <w:spacing w:after="0" w:line="19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A. Weinzierl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258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925830" cy="8255"/>
                    </a:xfrm>
                    <a:prstGeom prst="rect">
                      <a:avLst/>
                    </a:prstGeom>
                    <a:noFill/>
                  </pic:spPr>
                </pic:pic>
              </a:graphicData>
            </a:graphic>
          </wp:anchor>
        </w:drawing>
      </w:r>
    </w:p>
    <w:p>
      <w:pPr>
        <w:spacing w:after="0" w:line="5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A. Weinzierl, Trustee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683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0683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of John Alfred Weinzierl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411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22796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22796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John A. Weinzierl,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9531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95313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Managing Member of Katla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06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306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Energy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17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98171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05/01/2026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86" w:lineRule="exact"/>
        <w:rPr>
          <w:sz w:val="20"/>
          <w:szCs w:val="20"/>
          <w:color w:val="auto"/>
        </w:rPr>
      </w:pPr>
    </w:p>
    <w:p>
      <w:pPr>
        <w:sectPr>
          <w:pgSz w:w="11900" w:h="16838" w:orient="portrait"/>
          <w:cols w:equalWidth="0" w:num="2">
            <w:col w:w="8680" w:space="80"/>
            <w:col w:w="2120"/>
          </w:cols>
          <w:pgMar w:left="480" w:top="167" w:right="539" w:bottom="144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60" w:firstLine="7"/>
        <w:spacing w:after="0" w:line="320"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167"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6" Type="http://schemas.openxmlformats.org/officeDocument/2006/relationships/image" Target="media/image7.png"/><Relationship Id="rId17"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13" Type="http://schemas.openxmlformats.org/officeDocument/2006/relationships/hyperlink" Target="http://www.sec.gov/cgi-bin/browse-edgar?action=getcompany&amp;CIK=0001377295" TargetMode="External"/><Relationship Id="rId14" Type="http://schemas.openxmlformats.org/officeDocument/2006/relationships/hyperlink" Target="http://www.sec.gov/cgi-bin/browse-edgar?action=getcompany&amp;CIK=0000101594" TargetMode="External"/><Relationship Id="rId18" Type="http://schemas.openxmlformats.org/officeDocument/2006/relationships/hyperlink" Target="http://www.sec.gov/cgi-bin/browse-edgar?action=getcompany&amp;CIK=0002018711" TargetMode="External"/><Relationship Id="rId19" Type="http://schemas.openxmlformats.org/officeDocument/2006/relationships/hyperlink" Target="http://www.sec.gov/cgi-bin/browse-edgar?action=getcompany&amp;CIK=0001940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2026-05-01T16:55:21Z</dcterms:created>
  <dcterms:modified xsi:type="dcterms:W3CDTF">2026-05-01T16:55:21Z</dcterms:modified>
</cp:coreProperties>
</file>