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7" w:lineRule="exact"/>
        <w:rPr>
          <w:rFonts w:ascii="MS PGothic" w:cs="MS PGothic" w:eastAsia="MS PGothic" w:hAnsi="MS PGothic"/>
          <w:sz w:val="18"/>
          <w:szCs w:val="18"/>
          <w:color w:val="auto"/>
        </w:rPr>
      </w:pPr>
    </w:p>
    <w:p>
      <w:pPr>
        <w:ind w:left="39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060" w:right="2160" w:hanging="3052"/>
        <w:spacing w:after="0" w:line="498" w:lineRule="auto"/>
        <w:tabs>
          <w:tab w:leader="none" w:pos="34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 to _____________________</w:t>
      </w:r>
    </w:p>
    <w:p>
      <w:pPr>
        <w:spacing w:after="0" w:line="1"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000-06814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156845</wp:posOffset>
            </wp:positionV>
            <wp:extent cx="3017520" cy="960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7520" cy="9601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10"/>
          </w:tcPr>
          <w:p>
            <w:pPr>
              <w:jc w:val="center"/>
              <w:ind w:left="355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3640" w:type="dxa"/>
            <w:vAlign w:val="bottom"/>
          </w:tcPr>
          <w:p>
            <w:pPr>
              <w:spacing w:after="0"/>
              <w:rPr>
                <w:sz w:val="20"/>
                <w:szCs w:val="20"/>
                <w:color w:val="auto"/>
              </w:rPr>
            </w:pPr>
          </w:p>
        </w:tc>
      </w:tr>
      <w:tr>
        <w:trPr>
          <w:trHeight w:val="432"/>
        </w:trPr>
        <w:tc>
          <w:tcPr>
            <w:tcW w:w="47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83-0205516</w:t>
            </w:r>
          </w:p>
        </w:tc>
      </w:tr>
      <w:tr>
        <w:trPr>
          <w:trHeight w:val="191"/>
        </w:trPr>
        <w:tc>
          <w:tcPr>
            <w:tcW w:w="4720" w:type="dxa"/>
            <w:vAlign w:val="bottom"/>
            <w:gridSpan w:val="3"/>
          </w:tcPr>
          <w:p>
            <w:pPr>
              <w:jc w:val="center"/>
              <w:ind w:left="7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tcPr>
          <w:p>
            <w:pPr>
              <w:jc w:val="center"/>
              <w:ind w:right="177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4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472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1616 S. Voss Road, Suite 725, Houston, Texas</w:t>
            </w: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77057</w:t>
            </w:r>
          </w:p>
        </w:tc>
      </w:tr>
      <w:tr>
        <w:trPr>
          <w:trHeight w:val="228"/>
        </w:trPr>
        <w:tc>
          <w:tcPr>
            <w:tcW w:w="47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4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(346) 509-8734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7"/>
        </w:trPr>
        <w:tc>
          <w:tcPr>
            <w:tcW w:w="7600" w:type="dxa"/>
            <w:vAlign w:val="bottom"/>
            <w:gridSpan w:val="10"/>
          </w:tcPr>
          <w:p>
            <w:pPr>
              <w:jc w:val="center"/>
              <w:ind w:left="35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40" w:type="dxa"/>
            <w:vAlign w:val="bottom"/>
          </w:tcPr>
          <w:p>
            <w:pPr>
              <w:spacing w:after="0"/>
              <w:rPr>
                <w:sz w:val="20"/>
                <w:szCs w:val="20"/>
                <w:color w:val="auto"/>
              </w:rPr>
            </w:pPr>
          </w:p>
        </w:tc>
      </w:tr>
      <w:tr>
        <w:trPr>
          <w:trHeight w:val="432"/>
        </w:trPr>
        <w:tc>
          <w:tcPr>
            <w:tcW w:w="11240" w:type="dxa"/>
            <w:vAlign w:val="bottom"/>
            <w:gridSpan w:val="11"/>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432"/>
        </w:trPr>
        <w:tc>
          <w:tcPr>
            <w:tcW w:w="472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8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6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87"/>
        </w:trPr>
        <w:tc>
          <w:tcPr>
            <w:tcW w:w="40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$0.01</w:t>
            </w: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4"/>
          </w:tcPr>
          <w:p>
            <w:pPr>
              <w:jc w:val="center"/>
              <w:ind w:right="7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USEG</w:t>
            </w:r>
          </w:p>
        </w:tc>
        <w:tc>
          <w:tcPr>
            <w:tcW w:w="2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640" w:type="dxa"/>
            <w:vAlign w:val="bottom"/>
            <w:tcBorders>
              <w:top w:val="single" w:sz="8" w:color="auto"/>
            </w:tcBorders>
          </w:tcPr>
          <w:p>
            <w:pPr>
              <w:jc w:val="center"/>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NASDAQ Stock Market LLC</w:t>
            </w: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r>
        <w:trPr>
          <w:trHeight w:val="574"/>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p>
      <w:pPr>
        <w:spacing w:after="0" w:line="17"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52,320,429 shares of its common stock, par value $0.01 per share, outstanding as of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8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Cautionary Note About Forward-Looking Statements</w:t>
            </w:r>
          </w:p>
        </w:tc>
        <w:tc>
          <w:tcPr>
            <w:tcW w:w="800" w:type="dxa"/>
            <w:vAlign w:val="bottom"/>
            <w:gridSpan w:val="2"/>
            <w:vMerge w:val="restart"/>
          </w:tcPr>
          <w:p>
            <w:pPr>
              <w:spacing w:after="0"/>
              <w:rPr>
                <w:sz w:val="24"/>
                <w:szCs w:val="24"/>
                <w:color w:val="auto"/>
              </w:rPr>
            </w:pPr>
          </w:p>
        </w:tc>
        <w:tc>
          <w:tcPr>
            <w:tcW w:w="1920" w:type="dxa"/>
            <w:vAlign w:val="bottom"/>
            <w:tcBorders>
              <w:top w:val="single" w:sz="8" w:color="auto"/>
              <w:bottom w:val="single" w:sz="8" w:color="auto"/>
            </w:tcBorders>
            <w:gridSpan w:val="5"/>
            <w:vMerge w:val="restart"/>
          </w:tcPr>
          <w:p>
            <w:pPr>
              <w:spacing w:after="0"/>
              <w:rPr>
                <w:sz w:val="24"/>
                <w:szCs w:val="24"/>
                <w:color w:val="auto"/>
              </w:rPr>
            </w:pPr>
          </w:p>
        </w:tc>
        <w:tc>
          <w:tcPr>
            <w:tcW w:w="4100" w:type="dxa"/>
            <w:vAlign w:val="bottom"/>
            <w:gridSpan w:val="3"/>
            <w:vMerge w:val="restart"/>
          </w:tcPr>
          <w:p>
            <w:pPr>
              <w:spacing w:after="0"/>
              <w:rPr>
                <w:sz w:val="24"/>
                <w:szCs w:val="24"/>
                <w:color w:val="auto"/>
              </w:rPr>
            </w:pPr>
          </w:p>
        </w:tc>
        <w:tc>
          <w:tcPr>
            <w:tcW w:w="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3860" w:type="dxa"/>
            <w:vAlign w:val="bottom"/>
            <w:gridSpan w:val="1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4100" w:type="dxa"/>
            <w:vAlign w:val="bottom"/>
            <w:gridSpan w:val="3"/>
            <w:vMerge w:val="continue"/>
          </w:tcPr>
          <w:p>
            <w:pPr>
              <w:spacing w:after="0"/>
              <w:rPr>
                <w:sz w:val="14"/>
                <w:szCs w:val="14"/>
                <w:color w:val="auto"/>
              </w:rPr>
            </w:pPr>
          </w:p>
        </w:tc>
        <w:tc>
          <w:tcPr>
            <w:tcW w:w="380" w:type="dxa"/>
            <w:vAlign w:val="bottom"/>
            <w:gridSpan w:val="4"/>
          </w:tcPr>
          <w:p>
            <w:pPr>
              <w:jc w:val="center"/>
              <w:ind w:left="90"/>
              <w:spacing w:after="0" w:line="169" w:lineRule="exact"/>
              <w:rPr>
                <w:sz w:val="20"/>
                <w:szCs w:val="20"/>
                <w:color w:val="auto"/>
              </w:rPr>
            </w:pPr>
            <w:r>
              <w:rPr>
                <w:rFonts w:ascii="Times New Roman" w:cs="Times New Roman" w:eastAsia="Times New Roman" w:hAnsi="Times New Roman"/>
                <w:sz w:val="18"/>
                <w:szCs w:val="18"/>
                <w:color w:val="0000EE"/>
                <w:w w:val="88"/>
              </w:rPr>
              <w:t>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920" w:type="dxa"/>
            <w:vAlign w:val="bottom"/>
            <w:gridSpan w:val="2"/>
          </w:tcPr>
          <w:p>
            <w:pPr>
              <w:spacing w:after="0"/>
              <w:rPr>
                <w:sz w:val="24"/>
                <w:szCs w:val="24"/>
                <w:color w:val="auto"/>
              </w:rPr>
            </w:pPr>
          </w:p>
        </w:tc>
        <w:tc>
          <w:tcPr>
            <w:tcW w:w="6820" w:type="dxa"/>
            <w:vAlign w:val="bottom"/>
            <w:gridSpan w:val="10"/>
          </w:tcPr>
          <w:p>
            <w:pPr>
              <w:spacing w:after="0"/>
              <w:rPr>
                <w:sz w:val="24"/>
                <w:szCs w:val="24"/>
                <w:color w:val="auto"/>
              </w:rPr>
            </w:pPr>
          </w:p>
        </w:tc>
        <w:tc>
          <w:tcPr>
            <w:tcW w:w="3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0000EE"/>
                <w:w w:val="88"/>
              </w:rPr>
              <w:t>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740" w:type="dxa"/>
            <w:vAlign w:val="bottom"/>
            <w:gridSpan w:val="12"/>
          </w:tcPr>
          <w:p>
            <w:pPr>
              <w:spacing w:after="0"/>
              <w:rPr>
                <w:sz w:val="24"/>
                <w:szCs w:val="24"/>
                <w:color w:val="auto"/>
              </w:rPr>
            </w:pPr>
          </w:p>
        </w:tc>
        <w:tc>
          <w:tcPr>
            <w:tcW w:w="3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0000EE"/>
                <w:w w:val="88"/>
              </w:rPr>
              <w:t>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8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6180" w:type="dxa"/>
            <w:vAlign w:val="bottom"/>
            <w:gridSpan w:val="9"/>
          </w:tcPr>
          <w:p>
            <w:pPr>
              <w:spacing w:after="0"/>
              <w:rPr>
                <w:sz w:val="17"/>
                <w:szCs w:val="17"/>
                <w:color w:val="auto"/>
              </w:rPr>
            </w:pPr>
          </w:p>
        </w:tc>
        <w:tc>
          <w:tcPr>
            <w:tcW w:w="380" w:type="dxa"/>
            <w:vAlign w:val="bottom"/>
            <w:gridSpan w:val="4"/>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5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5460" w:type="dxa"/>
            <w:vAlign w:val="bottom"/>
            <w:gridSpan w:val="6"/>
          </w:tcPr>
          <w:p>
            <w:pPr>
              <w:spacing w:after="0"/>
              <w:rPr>
                <w:sz w:val="17"/>
                <w:szCs w:val="17"/>
                <w:color w:val="auto"/>
              </w:rPr>
            </w:pPr>
          </w:p>
        </w:tc>
        <w:tc>
          <w:tcPr>
            <w:tcW w:w="380" w:type="dxa"/>
            <w:vAlign w:val="bottom"/>
            <w:gridSpan w:val="4"/>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Shareholders’ Equity (unaudited)</w:t>
            </w:r>
          </w:p>
        </w:tc>
        <w:tc>
          <w:tcPr>
            <w:tcW w:w="380" w:type="dxa"/>
            <w:vAlign w:val="bottom"/>
            <w:gridSpan w:val="4"/>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6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w:t>
            </w:r>
          </w:p>
        </w:tc>
        <w:tc>
          <w:tcPr>
            <w:tcW w:w="1500" w:type="dxa"/>
            <w:vAlign w:val="bottom"/>
            <w:gridSpan w:val="3"/>
          </w:tcPr>
          <w:p>
            <w:pPr>
              <w:spacing w:after="0"/>
              <w:rPr>
                <w:sz w:val="17"/>
                <w:szCs w:val="17"/>
                <w:color w:val="auto"/>
              </w:rPr>
            </w:pPr>
          </w:p>
        </w:tc>
        <w:tc>
          <w:tcPr>
            <w:tcW w:w="3900" w:type="dxa"/>
            <w:vAlign w:val="bottom"/>
            <w:gridSpan w:val="2"/>
          </w:tcPr>
          <w:p>
            <w:pPr>
              <w:spacing w:after="0"/>
              <w:rPr>
                <w:sz w:val="17"/>
                <w:szCs w:val="17"/>
                <w:color w:val="auto"/>
              </w:rPr>
            </w:pPr>
          </w:p>
        </w:tc>
        <w:tc>
          <w:tcPr>
            <w:tcW w:w="380" w:type="dxa"/>
            <w:vAlign w:val="bottom"/>
            <w:gridSpan w:val="4"/>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8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5200" w:type="dxa"/>
            <w:vAlign w:val="bottom"/>
            <w:gridSpan w:val="4"/>
          </w:tcPr>
          <w:p>
            <w:pPr>
              <w:spacing w:after="0"/>
              <w:rPr>
                <w:sz w:val="17"/>
                <w:szCs w:val="17"/>
                <w:color w:val="auto"/>
              </w:rPr>
            </w:pPr>
          </w:p>
        </w:tc>
        <w:tc>
          <w:tcPr>
            <w:tcW w:w="380" w:type="dxa"/>
            <w:vAlign w:val="bottom"/>
            <w:gridSpan w:val="4"/>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540" w:type="dxa"/>
            <w:vAlign w:val="bottom"/>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6"/>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540" w:type="dxa"/>
            <w:vAlign w:val="bottom"/>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660" w:type="dxa"/>
            <w:vAlign w:val="bottom"/>
            <w:tcBorders>
              <w:left w:val="single" w:sz="8" w:color="0000EE"/>
            </w:tcBorders>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2560" w:type="dxa"/>
            <w:vAlign w:val="bottom"/>
            <w:gridSpan w:val="7"/>
          </w:tcPr>
          <w:p>
            <w:pPr>
              <w:spacing w:after="0"/>
              <w:rPr>
                <w:sz w:val="17"/>
                <w:szCs w:val="17"/>
                <w:color w:val="auto"/>
              </w:rPr>
            </w:pPr>
          </w:p>
        </w:tc>
        <w:tc>
          <w:tcPr>
            <w:tcW w:w="5660" w:type="dxa"/>
            <w:vAlign w:val="bottom"/>
            <w:gridSpan w:val="7"/>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30</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vMerge w:val="continue"/>
          </w:tcPr>
          <w:p>
            <w:pPr>
              <w:spacing w:after="0"/>
              <w:rPr>
                <w:sz w:val="24"/>
                <w:szCs w:val="24"/>
                <w:color w:val="auto"/>
              </w:rPr>
            </w:pPr>
          </w:p>
        </w:tc>
        <w:tc>
          <w:tcPr>
            <w:tcW w:w="100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560" w:type="dxa"/>
            <w:vAlign w:val="bottom"/>
            <w:gridSpan w:val="3"/>
          </w:tcPr>
          <w:p>
            <w:pPr>
              <w:spacing w:after="0"/>
              <w:rPr>
                <w:sz w:val="24"/>
                <w:szCs w:val="24"/>
                <w:color w:val="auto"/>
              </w:rPr>
            </w:pPr>
          </w:p>
        </w:tc>
        <w:tc>
          <w:tcPr>
            <w:tcW w:w="8120" w:type="dxa"/>
            <w:vAlign w:val="bottom"/>
            <w:gridSpan w:val="13"/>
          </w:tcPr>
          <w:p>
            <w:pPr>
              <w:spacing w:after="0"/>
              <w:rPr>
                <w:sz w:val="24"/>
                <w:szCs w:val="24"/>
                <w:color w:val="auto"/>
              </w:rPr>
            </w:pPr>
          </w:p>
        </w:tc>
        <w:tc>
          <w:tcPr>
            <w:tcW w:w="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EE"/>
              </w:rPr>
              <w:t>Risk Factors</w:t>
            </w: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660" w:type="dxa"/>
            <w:vAlign w:val="bottom"/>
            <w:gridSpan w:val="7"/>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768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Mine Safety Disclosures</w:t>
            </w:r>
          </w:p>
        </w:tc>
        <w:tc>
          <w:tcPr>
            <w:tcW w:w="540" w:type="dxa"/>
            <w:vAlign w:val="bottom"/>
            <w:gridSpan w:val="3"/>
          </w:tcPr>
          <w:p>
            <w:pPr>
              <w:spacing w:after="0"/>
              <w:rPr>
                <w:sz w:val="17"/>
                <w:szCs w:val="17"/>
                <w:color w:val="auto"/>
              </w:rPr>
            </w:pPr>
          </w:p>
        </w:tc>
        <w:tc>
          <w:tcPr>
            <w:tcW w:w="7680" w:type="dxa"/>
            <w:vAlign w:val="bottom"/>
            <w:gridSpan w:val="11"/>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gridSpan w:val="2"/>
          </w:tcPr>
          <w:p>
            <w:pPr>
              <w:spacing w:after="0"/>
              <w:rPr>
                <w:sz w:val="17"/>
                <w:szCs w:val="17"/>
                <w:color w:val="auto"/>
              </w:rPr>
            </w:pPr>
          </w:p>
        </w:tc>
        <w:tc>
          <w:tcPr>
            <w:tcW w:w="8220" w:type="dxa"/>
            <w:vAlign w:val="bottom"/>
            <w:gridSpan w:val="14"/>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680" w:type="dxa"/>
            <w:vAlign w:val="bottom"/>
            <w:gridSpan w:val="1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680" w:type="dxa"/>
            <w:vAlign w:val="bottom"/>
            <w:gridSpan w:val="16"/>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0" w:type="dxa"/>
            <w:vAlign w:val="bottom"/>
            <w:gridSpan w:val="1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34</w:t>
            </w:r>
          </w:p>
        </w:tc>
        <w:tc>
          <w:tcPr>
            <w:tcW w:w="0" w:type="dxa"/>
            <w:vAlign w:val="bottom"/>
          </w:tcPr>
          <w:p>
            <w:pPr>
              <w:spacing w:after="0"/>
              <w:rPr>
                <w:sz w:val="1"/>
                <w:szCs w:val="1"/>
                <w:color w:val="auto"/>
              </w:rPr>
            </w:pPr>
          </w:p>
        </w:tc>
      </w:tr>
      <w:tr>
        <w:trPr>
          <w:trHeight w:val="695"/>
        </w:trPr>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20" w:type="dxa"/>
            <w:vAlign w:val="bottom"/>
            <w:gridSpan w:val="17"/>
          </w:tcPr>
          <w:p>
            <w:pPr>
              <w:jc w:val="right"/>
              <w:ind w:right="9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(this “Report” or “Form 10-Q”), including “Management’s Discussion and Analysis of Financial Condition and Results of Operations,” contains “forward-looking statements” within the meaning of the federal securities laws, including Section 27A of the Securities Act of 1933, as amended, Section 21E of the Securities Exchange Act of 1934, as amended (the “Exchange Act”) and the Private Securities Litigation Reform Act of 1995. All statements other than statements of historical facts are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forward-looking statements in this Report include:</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capital expenditures for industrial gas, oil and natural gas exploration, development and environmental compliance;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drilling locations and available spacing units, and possible changes in spacing rules;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expected to be available for capital expenditures and to satisfy other obligations;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recovered volumes and values of industrial gas, oil and natural gas approximating third-party estimates;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changes in oil and natural gas production and future industrial gas production;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activities and opportunities;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drilling additional wells and performing other exploration and development projects;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spacing and the number of wells to be drilled with our industry partners;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payout-based milestones or similar thresholds will be reached for the purposes of our agreements with our partners;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working and net revenue interests, and costs of wells, relating to the drilling programs with our partners;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decline rates for producing wells;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cash flows, expenses and borrowings;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pursuit of potential acquisition opportunities;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wars and increased inflation and interest rates, and possible recessions caused thereby;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pandemics on our operations, properties, the market for industrial gas, oil and natural gas, and the demand for industrial gas, oil and natural gas;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financial position;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overhead reductions;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become an operator of industrial gas, oil and natural gas properties;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financing and acquire attractive industrial gas, oil and natural gas properties;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plans and objectives for future operations, including industrial gas exploration and development.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“may,” “expect,” “estimate,” “project,” “plan,” “believe,” “intend,” “achievable,” “anticipate,” “will,” “continue,” “potential,” “should,” “could,” “up to,” and similar terms and phrases. Though we believe that the expectations reflected in these statements are reasonable, they involve certain assumptions, risks and uncertainties. Factors that could cause or contribute to such differences include, but are not limited to, those discussed in this Quarterly Report on Form 10-Q, and in particular, under and incorporated by reference in, “Risk Factors”, below, the risks discussed in Part I, Item 1A, “Risk Factors” in our Annual Report on Form 10-K for the fiscal year ended December 31, 2025, and those discussed in other documents we file with the Securities and Exchange Commission (the “SEC” or the “Commission”). Given these risks and uncertainties, readers are cautioned not to place undue reliance on such forward-looking statements.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persons acting on its behalf, are expressly qualified in their entirety by the cautionary statements above.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forward-looking statements speak only at the date of the filing of this Report. We do not undertake any obligation to update or revise publicly any forward-looking statements except as required by law, including the securities laws of the United States and the rules and regulations of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ENERGY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10,451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natural gas sales receivables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w:t>
            </w:r>
          </w:p>
        </w:tc>
      </w:tr>
      <w:tr>
        <w:trPr>
          <w:trHeight w:val="209"/>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1,985</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Oil and natural gas properties under full cost method and industrial gas properties: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Evaluated properties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132,514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132,459</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depletion and amortization</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(117,619)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(117,237)</w:t>
            </w:r>
          </w:p>
        </w:tc>
      </w:tr>
      <w:tr>
        <w:trPr>
          <w:trHeight w:val="209"/>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oil and natural gas properties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15,222</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Unproved industrial gas properties, not subject to amortization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22,479</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55,191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40,630</w:t>
            </w:r>
          </w:p>
        </w:tc>
      </w:tr>
      <w:tr>
        <w:trPr>
          <w:trHeight w:val="196"/>
        </w:trPr>
        <w:tc>
          <w:tcPr>
            <w:tcW w:w="8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and royalties payable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obligation</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0"/>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6,023</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7,706</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obligation, net of current portion</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10,412</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16,435</w:t>
            </w:r>
          </w:p>
        </w:tc>
      </w:tr>
      <w:tr>
        <w:trPr>
          <w:trHeight w:val="197"/>
        </w:trPr>
        <w:tc>
          <w:tcPr>
            <w:tcW w:w="8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245,000,000 shares authorized; 52,320,429 and 34,405,143 shares issued</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outstanding at March 31, 2026 and December 31, 2025, respectively</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253,049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235,762</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(215,097)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(211,912)</w:t>
            </w:r>
          </w:p>
        </w:tc>
      </w:tr>
      <w:tr>
        <w:trPr>
          <w:trHeight w:val="209"/>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24,195</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55,191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40,630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U.S. ENERGY CORP. AND SUBSIDIARIES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OPERATIONS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020" w:type="dxa"/>
            <w:vAlign w:val="bottom"/>
            <w:gridSpan w:val="2"/>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2026 AND 2025</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Oil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1,376</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1,770</w:t>
            </w:r>
          </w:p>
        </w:tc>
      </w:tr>
      <w:tr>
        <w:trPr>
          <w:trHeight w:val="22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and liquids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423</w:t>
            </w: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operating expenses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Production taxes</w:t>
            </w: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accretion and amortization</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Exploration expense</w:t>
            </w: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2,389</w:t>
            </w: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(3,088)</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9"/>
                <w:szCs w:val="19"/>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80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40,065,555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32,724,922</w:t>
            </w: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ENERGY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760" w:type="dxa"/>
            <w:vAlign w:val="bottom"/>
            <w:gridSpan w:val="5"/>
            <w:vMerge w:val="restart"/>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27,903,197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221,460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(197,538)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24,201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acquisition of industrial gas properties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to employees and directors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851,515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to settle tax withholding obligations for</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(203,281)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sold in underwritten offering, net of offering costs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$899,099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4,871,400</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repurchased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(125,600)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repurchased from related party</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(635,400)</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March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34,061,831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234,244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(200,650)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33,938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34,405,143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235,762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(211,912)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to employees and directors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735,514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to settle tax withholding obligations for</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(168,610)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sold in underwritten offering, net of offering costs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$714,195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8,800,000</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7,998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8,086</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 for committed equity facility, net of offering</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$199,238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8,548,382</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March 31, 2026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52,320,429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(215,097)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left="340" w:right="2340"/>
        <w:spacing w:after="0" w:line="265" w:lineRule="auto"/>
        <w:rPr>
          <w:sz w:val="20"/>
          <w:szCs w:val="20"/>
          <w:color w:val="auto"/>
        </w:rPr>
      </w:pPr>
      <w:r>
        <w:rPr>
          <w:rFonts w:ascii="Times New Roman" w:cs="Times New Roman" w:eastAsia="Times New Roman" w:hAnsi="Times New Roman"/>
          <w:sz w:val="18"/>
          <w:szCs w:val="18"/>
          <w:b w:val="1"/>
          <w:bCs w:val="1"/>
          <w:color w:val="auto"/>
        </w:rPr>
        <w:t>U.S. ENERGY CORP. AND SUBSIDIARIES UNAUDITED CONDENSED CONSOLIDATED STATEMENTS OF CASH FLOWS FOR THE THREE MONTHS ENDED MARCH 31, 2026 AND 2025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(3,185)</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(3,111)</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depletion, accretion, and amortization</w:t>
            </w:r>
          </w:p>
        </w:tc>
        <w:tc>
          <w:tcPr>
            <w:tcW w:w="9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(gain) on marketable equity securities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9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 and natural gas sales receivable</w:t>
            </w:r>
          </w:p>
        </w:tc>
        <w:tc>
          <w:tcPr>
            <w:tcW w:w="9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7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(2,580)</w:t>
            </w:r>
          </w:p>
        </w:tc>
      </w:tr>
      <w:tr>
        <w:trPr>
          <w:trHeight w:val="216"/>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7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operating assets and liabilities, net</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Payments on operating lease liability</w:t>
            </w:r>
          </w:p>
        </w:tc>
        <w:tc>
          <w:tcPr>
            <w:tcW w:w="9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09"/>
        </w:trPr>
        <w:tc>
          <w:tcPr>
            <w:tcW w:w="79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(4,544)</w:t>
            </w:r>
          </w:p>
        </w:tc>
      </w:tr>
      <w:tr>
        <w:trPr>
          <w:trHeight w:val="210"/>
        </w:trPr>
        <w:tc>
          <w:tcPr>
            <w:tcW w:w="79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industrial gas properties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(2,128)</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 gas capital expenditures</w:t>
            </w:r>
          </w:p>
        </w:tc>
        <w:tc>
          <w:tcPr>
            <w:tcW w:w="9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and natural gas capital expenditures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expenditures</w:t>
            </w:r>
          </w:p>
        </w:tc>
        <w:tc>
          <w:tcPr>
            <w:tcW w:w="9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79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(2,422)</w:t>
            </w:r>
          </w:p>
        </w:tc>
      </w:tr>
      <w:tr>
        <w:trPr>
          <w:trHeight w:val="210"/>
        </w:trPr>
        <w:tc>
          <w:tcPr>
            <w:tcW w:w="79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costs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withheld to settle tax withholding obligations for restricted stock awards</w:t>
            </w:r>
          </w:p>
        </w:tc>
        <w:tc>
          <w:tcPr>
            <w:tcW w:w="9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share repurchase</w:t>
            </w:r>
          </w:p>
        </w:tc>
        <w:tc>
          <w:tcPr>
            <w:tcW w:w="9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underwritten offering</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11,877</w:t>
            </w:r>
          </w:p>
        </w:tc>
      </w:tr>
      <w:tr>
        <w:trPr>
          <w:trHeight w:val="230"/>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committed equity facility</w:t>
            </w:r>
          </w:p>
        </w:tc>
        <w:tc>
          <w:tcPr>
            <w:tcW w:w="9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9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9,745</w:t>
            </w:r>
          </w:p>
        </w:tc>
      </w:tr>
      <w:tr>
        <w:trPr>
          <w:trHeight w:val="209"/>
        </w:trPr>
        <w:tc>
          <w:tcPr>
            <w:tcW w:w="79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cash and equivalents</w:t>
            </w:r>
          </w:p>
        </w:tc>
        <w:tc>
          <w:tcPr>
            <w:tcW w:w="9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2,779</w:t>
            </w:r>
          </w:p>
        </w:tc>
      </w:tr>
      <w:tr>
        <w:trPr>
          <w:trHeight w:val="216"/>
        </w:trPr>
        <w:tc>
          <w:tcPr>
            <w:tcW w:w="7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equivalents, beginning of period</w:t>
            </w:r>
          </w:p>
        </w:tc>
        <w:tc>
          <w:tcPr>
            <w:tcW w:w="9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7,723</w:t>
            </w:r>
          </w:p>
        </w:tc>
      </w:tr>
      <w:tr>
        <w:trPr>
          <w:trHeight w:val="210"/>
        </w:trPr>
        <w:tc>
          <w:tcPr>
            <w:tcW w:w="79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equivalents, end of period</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10,451</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10,502</w:t>
            </w:r>
          </w:p>
        </w:tc>
      </w:tr>
      <w:tr>
        <w:trPr>
          <w:trHeight w:val="196"/>
        </w:trPr>
        <w:tc>
          <w:tcPr>
            <w:tcW w:w="79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6"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color w:val="auto"/>
        </w:rPr>
        <w:t xml:space="preserve">The accompanying notes are an integral part of these unaudited Condensed Consolidated Financial Statements. Please see </w:t>
      </w:r>
      <w:r>
        <w:rPr>
          <w:rFonts w:ascii="Times New Roman" w:cs="Times New Roman" w:eastAsia="Times New Roman" w:hAnsi="Times New Roman"/>
          <w:sz w:val="18"/>
          <w:szCs w:val="18"/>
          <w:i w:val="1"/>
          <w:iCs w:val="1"/>
          <w:color w:val="auto"/>
        </w:rPr>
        <w:t>Note-15-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of Cash Flow Information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ENERGY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ind w:right="4480" w:firstLine="8"/>
        <w:spacing w:after="0" w:line="503"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OPERATIONS AND SIGNIFICANT ACCOUNTING POLICIES Organization and Operations</w:t>
      </w:r>
    </w:p>
    <w:p>
      <w:pPr>
        <w:jc w:val="both"/>
        <w:spacing w:after="0" w:line="266" w:lineRule="auto"/>
        <w:rPr>
          <w:sz w:val="20"/>
          <w:szCs w:val="20"/>
          <w:color w:val="auto"/>
        </w:rPr>
      </w:pPr>
      <w:r>
        <w:rPr>
          <w:rFonts w:ascii="Times New Roman" w:cs="Times New Roman" w:eastAsia="Times New Roman" w:hAnsi="Times New Roman"/>
          <w:sz w:val="18"/>
          <w:szCs w:val="18"/>
          <w:color w:val="auto"/>
        </w:rPr>
        <w:t>U.S. Energy Corp. and its wholly-owned subsidiaries are referred to as the “Company” in these Notes to Condensed Consolidated Financial Statements. The Company is incorporated in the State of Delaware and its principal business activities are focused on the acquisition, exploration and development of industrial gas and oil and natural gas properties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presented in accordance with U.S. generally accepted accounting principles (“GAAP”) and have been prepared by the Company pursuant to the rules and regulations of the Securities and Exchange Commission (the “SEC”) regarding interim financial reporting. Accordingly, certain information and footnote disclosures required by GAAP for complete financial statements have been condensed or omitted in accordance with such rules and regulations. In the opinion of management, all adjustments (consisting of normal recurring adjustments) considered necessary for a fair presentation of the Condensed Consolidated Financial Statements have been included.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footnotes thereto included in our Annual Report on Form 10-K for the year ended December 31, 2025, as filed with the SEC on March 13, 2026. The Company’s significant accounting policies are also described in Note 1 in those Consolidated Financial Statements. There have been no material changes to those policies during the three months ended March 31,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condition as of March 31, 2026, and operating results for the three months ended March 31, 2026, are not necessarily indicative of the financial condition and results of operations that may be expected for any future interim period or for the year ending December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Significant estimates include oil and natural gas reserves that are used in the calculation of depreciation, depletion, amortization ("DD&amp;A") and impairment of the carrying value of proved oil and natural gas properties, and the cost and timing of future asset retirement obligations. The Company evaluates its estimates on an on-going basis and bases its estimates on historical experience and on various other assumptions the Company believes to be reasonable. Due to inherent uncertainties, including the future prices of oil and natural gas, these estimates could change in the near term and such changes could be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GAAP and include the accounts of U.S. Energy Corp. and its wholly-owned subsidiaries. U.S. Energy Corp. accounts for its share of oil and natural gas exploration and production activities, and industrial gas activities in which it has a direct working interest, by reporting its proportionate share of assets, liabilities, revenues, costs, and cash flows within the relevant lines on the Condensed Consolidated Balance Sheets, Condensed Consolidated Statements of Operations, and Condensed Consolidated Statements of Cash Flows. All inter-company balances and transactions have been eliminated in consolidation.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Segment and Geographic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primarily in the exploration and production segment of the oil and gas industry, conducting onshore operations within the United States. All current revenues are derived from the production and sale of oil and natural gas.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addition, the Company has commenced development activities related to industrial gas assets. These activities are currently in the development stage and have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yet generated revenues. Development activities primarily consist of resource evaluation, permitting, engineering and related capital expenditures.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manages its operations as a single reportable segment under ASC </w:t>
      </w:r>
      <w:r>
        <w:rPr>
          <w:rFonts w:ascii="Times New Roman" w:cs="Times New Roman" w:eastAsia="Times New Roman" w:hAnsi="Times New Roman"/>
          <w:sz w:val="18"/>
          <w:szCs w:val="18"/>
          <w:i w:val="1"/>
          <w:iCs w:val="1"/>
          <w:color w:val="auto"/>
        </w:rPr>
        <w:t>280</w:t>
      </w:r>
      <w:r>
        <w:rPr>
          <w:rFonts w:ascii="Times New Roman" w:cs="Times New Roman" w:eastAsia="Times New Roman" w:hAnsi="Times New Roman"/>
          <w:sz w:val="18"/>
          <w:szCs w:val="18"/>
          <w:color w:val="auto"/>
        </w:rPr>
        <w:t xml:space="preserve"> Segment Reporting. The Company’s Chief Executive Officer serves as the Chief Operating Decision Maker (“CODM”) and reviews financial information on a consolidated basis for purposes of allocating resources and assessing performance. While industrial gas development costs and capital expenditures are tracked separately for internal project management purposes, such activities do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currently constitute a separate operating segment, as discrete operating results are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reviewed by the CODM and </w:t>
      </w:r>
      <w:r>
        <w:rPr>
          <w:rFonts w:ascii="Times New Roman" w:cs="Times New Roman" w:eastAsia="Times New Roman" w:hAnsi="Times New Roman"/>
          <w:sz w:val="18"/>
          <w:szCs w:val="18"/>
          <w:i w:val="1"/>
          <w:iCs w:val="1"/>
          <w:color w:val="auto"/>
        </w:rPr>
        <w:t>no</w:t>
      </w:r>
      <w:r>
        <w:rPr>
          <w:rFonts w:ascii="Times New Roman" w:cs="Times New Roman" w:eastAsia="Times New Roman" w:hAnsi="Times New Roman"/>
          <w:sz w:val="18"/>
          <w:szCs w:val="18"/>
          <w:color w:val="auto"/>
        </w:rPr>
        <w:t xml:space="preserve"> revenues have been generated.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principal oil and natural gas properties and operations are located in:</w:t>
      </w:r>
    </w:p>
    <w:p>
      <w:pPr>
        <w:spacing w:after="0" w:line="225" w:lineRule="exact"/>
        <w:rPr>
          <w:sz w:val="20"/>
          <w:szCs w:val="20"/>
          <w:color w:val="auto"/>
        </w:rPr>
      </w:pPr>
    </w:p>
    <w:p>
      <w:pPr>
        <w:ind w:left="600" w:hanging="187"/>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Rockies region (Montana and Wyoming)</w:t>
      </w:r>
    </w:p>
    <w:p>
      <w:pPr>
        <w:spacing w:after="0" w:line="27" w:lineRule="exact"/>
        <w:rPr>
          <w:rFonts w:ascii="Times New Roman" w:cs="Times New Roman" w:eastAsia="Times New Roman" w:hAnsi="Times New Roman"/>
          <w:sz w:val="18"/>
          <w:szCs w:val="18"/>
          <w:color w:val="auto"/>
        </w:rPr>
      </w:pPr>
    </w:p>
    <w:p>
      <w:pPr>
        <w:ind w:left="600" w:hanging="187"/>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Mid-Continent and Other region (Oklahoma and North and Texas)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evaluates performance primarily based on operating income (loss), defined as revenues less lease operating expenses. Other significant items reviewed include total assets, depreciation, depletion and amortization (“DD&amp;A”), general and administrative expense, gain or loss on derivative activity, interest expense and income tax expense (benefit). These amounts are presented in the Consolidated Balance Sheets and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issued Accounting Standards Update No.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 (Subtopic 220-40)</w:t>
      </w:r>
      <w:r>
        <w:rPr>
          <w:rFonts w:ascii="Times New Roman" w:cs="Times New Roman" w:eastAsia="Times New Roman" w:hAnsi="Times New Roman"/>
          <w:sz w:val="18"/>
          <w:szCs w:val="18"/>
          <w:color w:val="auto"/>
        </w:rPr>
        <w:t>, which requires additional disaggregation of certain expense captions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on the face of the income statement, including further detail regarding the nature of expenses such as employee compensation, depreciation, and amortization. The guidance is intended to enhance transparency into the composition of an entity’s expenses.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amendments in ASU 2024-03 are effective for public business entities for fiscal years beginning after December 15, 2026, and interim periods within those fiscal years. Early adoption is permitted.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the impact that the adoption of this guidance will have on its consolidated financial statements and related disclosures. The Company expects the adoption will result in expanded disclosures but does not anticipate a material impact on its results of operations, financial position,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the Company entered into a consulting engagement with a related party, as defined under applicable accounting guidance. The related party relationship arises from the entity being controlled by a member of the Company’s board of directors. The Company engaged the related party to provide electrical infrastructure consulting services in connection with the development of its gas processing facility. For the three months ended March 31, 2026, the Company incurred approximately $25,000 in costs related to these services. The arrangement provides for a fixed fee of up to $50,000, and the Company believes the terms are customary and reasonable for similar services. The Company’s Audit Committee reviewed and approved the engagement in accordance with the Company’s related party transaction policy. As of March 31, 2026, no amounts were payable to the related party.</w:t>
      </w:r>
    </w:p>
    <w:p>
      <w:pPr>
        <w:spacing w:after="0" w:line="200" w:lineRule="exact"/>
        <w:rPr>
          <w:sz w:val="20"/>
          <w:szCs w:val="20"/>
          <w:color w:val="auto"/>
        </w:rPr>
      </w:pPr>
    </w:p>
    <w:p>
      <w:pPr>
        <w:spacing w:after="0" w:line="228" w:lineRule="exact"/>
        <w:rPr>
          <w:sz w:val="20"/>
          <w:szCs w:val="20"/>
          <w:color w:val="auto"/>
        </w:rPr>
      </w:pPr>
    </w:p>
    <w:p>
      <w:pPr>
        <w:ind w:right="7900" w:firstLine="8"/>
        <w:spacing w:after="0" w:line="503"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 Acquisition of industrial gas acreage</w:t>
      </w: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7, 2025, the Company entered into, and simultaneously closed the related party transactions contemplated by, a Purchase and Sale Agreement (the “Synergy Purchase Agreement”), with Synergy Offshore LLC (“Synergy”). Synergy is controlled by Mr. Duane H. King, a member of the Board of Directors of the Company, who serves as the Chief Executive Officer and Manager of Synergy, and John A. Weinzierl, the Company’s Chairman, who was an approximate sixty percent beneficial owner of Synergy at the time of the entry into the purchase and sale agreement.</w:t>
      </w:r>
    </w:p>
    <w:p>
      <w:pPr>
        <w:spacing w:after="0" w:line="18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Pursuant to the Synergy Purchase Agreement, the Company purchased from Synergy, 24,000 net operated acres located across the Kevin Dome structure in Toole County, Montana, which are highly contiguous to the 144,000 net acres located across the Kevin Dome structure in Toole County, Montana acquired by the Company in June 2024 from Wavetech Helium, Inc. ("Wavetech"), including all leases, wells, rights and interests in, under or derived from all communalization, unitization, or pooling agreements or pooling orders, easements, mineral interests, contracts, production, equipment, claims, receivables, indemnities, permits, seismic studies and records, associated therewith (collectively, the “Property”), subject to Synergy retaining an undivided twenty percent (20.00%) of Synergy’s right, title, and interest in the Property, and certain excluded assets (the “Synergy Reserved Interest”).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Property was acquired in consideration for (a) $2.0 million in cash, subject to customary adjustments; (b) 1,400,000 shares of the Company’s common stock (representing 4.76% of the Company’s outstanding common stock at the time of the entry into the Purchase Agreement) (the “Closing Shares”); (c) a carried working interest whereby the Company agreed to cover and pay for 100% of Synergy’s costs attributable to the Synergy Reserved Interest, until the earlier of (i) 78 months from the closing date; or (ii) the date the total costs associated therewith total $20 million; (d) the Company's agreement to pay Synergy 18% of the cash amounts it actually realizes from our sequestration of carbon oxides or similar substances derived directly from the area of mutual interest (“AMI”) surrounding the Property; and (e) the Company's agreement to pay Synergy 18% of the gain we may receive in connection with the sale of the future, first, gas processing plant located on the Property (which includes any expansions connected to the initial installation that processes production from within the AMI in which the Company has a financial interest), in the same form as the consideration we receive upon such sale. Total consideration was $4.7 million. The transaction was accounted for as an asset acquisition and recorded as an unevaluated industrial gas asset upon closing.</w:t>
      </w:r>
    </w:p>
    <w:p>
      <w:pPr>
        <w:sectPr>
          <w:pgSz w:w="11900" w:h="16838" w:orient="portrait"/>
          <w:cols w:equalWidth="0" w:num="1">
            <w:col w:w="11240"/>
          </w:cols>
          <w:pgMar w:left="320" w:top="121" w:right="339" w:bottom="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revenues from its share of revenue from the sale of oil and natural gas and liquids by region. The Company’s revenues in the Rockies region and the Mid-Continent and Other region for the three months ended March 31, 2026 and 2025, are presented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Rockies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1,320</w:t>
            </w:r>
          </w:p>
        </w:tc>
        <w:tc>
          <w:tcPr>
            <w:tcW w:w="48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and liquids</w:t>
            </w:r>
          </w:p>
        </w:tc>
        <w:tc>
          <w:tcPr>
            <w:tcW w:w="9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Mid-Continent and Other</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and liquids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w:t>
            </w:r>
          </w:p>
        </w:tc>
        <w:tc>
          <w:tcPr>
            <w:tcW w:w="48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gridSpan w:val="2"/>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Combined Total</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1,604</w:t>
            </w:r>
          </w:p>
        </w:tc>
        <w:tc>
          <w:tcPr>
            <w:tcW w:w="4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tcPr>
          <w:p>
            <w:pPr>
              <w:spacing w:after="0"/>
              <w:rPr>
                <w:sz w:val="21"/>
                <w:szCs w:val="21"/>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Cumulative oil and natural gas divestitures have reduced production in the Company’s West Texas, South Texas and Gulf Coast region to an insignificant level during the three months ended March 31, 2026. Accordingly, revenues for these areas are included within the Mid-Continent region in the current period, and prior-period amounts have been reclassified to conform to the current presentation. For the three months ended March 31, 2025, oil and natural gas revenues attributable to the West Texas, South Texas and Gulf Coast region were $233 thousand and $10 thousand, respectively.</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Significant concentrations of credit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exposure to credit risk in the event of non-payment of oil and natural gas receivables by purchasers of its operated oil and natural gas properties. The following table presents the purchasers that accounted for 10% or more of the Company’s total oil and natural gas revenue for at least one of the periods presented:</w:t>
      </w:r>
    </w:p>
    <w:p>
      <w:pPr>
        <w:spacing w:after="0" w:line="172"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Purchaser A</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 B</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Purchaser C</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668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66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 right-of-use asset and lease obligation are recognized at their discounted present value under the following captions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as of March 31, 2026 and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5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196"/>
        </w:trPr>
        <w:tc>
          <w:tcPr>
            <w:tcW w:w="802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lease obligation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obligation</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r>
      <w:tr>
        <w:trPr>
          <w:trHeight w:val="24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lease expense on a straight-line basis excluding short-term and variable lease payments, which are recognized as incurred. Short-term lease cost represents payments for oilfield equipment with original lease terms less than one year. The following are the amounts recognized as components of lease cost for the three months ended March 31, 2026 and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30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9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Houston office operating lease does not contain implicit interest rates that can be readily determined; therefore, the Company used the incremental borrowing rates in effect at the time the Company entered into the leases.</w:t>
      </w:r>
    </w:p>
    <w:p>
      <w:pPr>
        <w:spacing w:after="0" w:line="15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r>
      <w:tr>
        <w:trPr>
          <w:trHeight w:val="210"/>
        </w:trPr>
        <w:tc>
          <w:tcPr>
            <w:tcW w:w="7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2"/>
              </w:rPr>
              <w:t>thousands)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lease term (years)</w:t>
            </w:r>
          </w:p>
        </w:tc>
        <w:tc>
          <w:tcPr>
            <w:tcW w:w="7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4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of operating lease liabilities with terms of one year or more as of March 31, 2026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r>
      <w:tr>
        <w:trPr>
          <w:trHeight w:val="210"/>
        </w:trPr>
        <w:tc>
          <w:tcPr>
            <w:tcW w:w="35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6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3560" w:type="dxa"/>
            <w:vAlign w:val="bottom"/>
          </w:tcPr>
          <w:p>
            <w:pPr>
              <w:spacing w:after="0"/>
              <w:rPr>
                <w:sz w:val="24"/>
                <w:szCs w:val="24"/>
                <w:color w:val="auto"/>
              </w:rPr>
            </w:pPr>
          </w:p>
        </w:tc>
        <w:tc>
          <w:tcPr>
            <w:tcW w:w="6120" w:type="dxa"/>
            <w:vAlign w:val="bottom"/>
          </w:tcPr>
          <w:p>
            <w:pPr>
              <w:jc w:val="right"/>
              <w:ind w:right="38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60" w:type="dxa"/>
            <w:vAlign w:val="bottom"/>
            <w:tcBorders>
              <w:bottom w:val="single" w:sz="8" w:color="auto"/>
            </w:tcBorders>
          </w:tcPr>
          <w:p>
            <w:pPr>
              <w:spacing w:after="0"/>
              <w:rPr>
                <w:sz w:val="10"/>
                <w:szCs w:val="10"/>
                <w:color w:val="auto"/>
              </w:rPr>
            </w:pPr>
          </w:p>
        </w:tc>
        <w:tc>
          <w:tcPr>
            <w:tcW w:w="6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right="6700" w:firstLine="8"/>
        <w:spacing w:after="0" w:line="532" w:lineRule="auto"/>
        <w:tabs>
          <w:tab w:leader="none" w:pos="1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OIL AND NATURAL GAS PRODUCING ACTIVITIES Full Cost Method Ceiling Test and Impairment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reserves used in the ceiling test incorporate assumptions regarding pricing and discount rates over which management has no influence in the determination of present value. In the calculation of the ceiling test as of March 31, 2026, the Company used $63.31 per barrel for oil and $3.72 per one million British Thermal Units for natural gas (as further adjusted for property, specific gravity, quality, local markets and distance from markets) to compute the future cash flows of the Company’s producing properties. The discount factor used was 10%. No ceiling test write down was recorded for the three months ended March 31, 2026.</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calculation of the ceiling test as of March 31, 2025, the Company used $74.52 per barrel for oil and $2.44 per one million British Thermal Units for natural gas (as further adjusted for property, specific gravity, quality, local markets and distance from markets) to compute the future cash flows of the Company’s producing properties. The discount factor used was 10%. No ceiling test write down was recorded for the three months ended March 31, 2025</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Credit Facility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5, 2022, the Company entered into a four-year credit agreement (“Credit Agreement”) with FirstBank Southwest (“FirstBank”) as administrative agent for one or more lenders (the “Lenders”), which provided for a revolving line of credit with an initial borrowing base of $15 million, and a maximum credit amount of $100 million. Borrowings under the Credit Agreement are collateralized by a first priority, perfected lien and security interests on substantially all assets of the Company (subject to permitted liens and other customary exceptions). On July 26, 2022, the Company entered into a letter agreement with FirstBank whereby it increased the borrowing base under the Credit Agreement from $15 million to $20 million. Under the Credit Agreement, revolving loans may be borrowed, repaid and re-borrowed until January 5, 2026, when all outstanding amounts must be repaid.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16, 2025, effective August 1, 2025, the Company entered into a First Amendment to Credit Agreement and Limited Waiver ("Amendment") with FirstBank, as administrative agent for the lenders party thereto, and such lenders. Significant revisions made to the Credit Amendment as a result of the Amendment include extending the maturity date of amounts owed from January 5, 2026 to May 31, 2029, lowering the borrowing base from $20 million to $10 million and deferring the next test period for the ratio of total debt to EBITDAX to March 31, 2026. During 2025, the Company expensed $53 thousand of remaining capitalized deferred financing costs associated with the Credit Agreement and capitalized $60 thousand of deferred financing costs attributable to the Amendment.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Credit Agreement, revolving loans may be borrowed, repaid and re-borrowed until May 31, 2029, when all outstanding amounts must be repaid. Interest on the outstanding amounts under the Credit Agreement will accrue at an interest rate equal to the greater of (i) the prime rate in effect on such day, and (ii) the Federal Funds rate in effect on such day (as determined in the Credit Agreement) plus 0.50%, and an applicable margin that ranges between 0.25% to 1.25% depending on utilization of the amount of the borrowing base (the “Applicable Margin”). In addition, there is a fee on the unused borrowing commitment of 0.5%. Interest expense from drawn balances recognized on the Credit Agreement and the weighted average interest rates for the three months ended March 31, 2026 and 2025 are presented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2880" w:type="dxa"/>
            <w:vAlign w:val="bottom"/>
            <w:tcBorders>
              <w:bottom w:val="single" w:sz="8" w:color="auto"/>
            </w:tcBorders>
            <w:gridSpan w:val="3"/>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9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7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gridSpan w:val="2"/>
          </w:tcPr>
          <w:p>
            <w:pPr>
              <w:jc w:val="center"/>
              <w:ind w:right="61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Credit Agreement contains various restrictive covenants and compliance requirements, which include: (i) maintenance of certain financial ratios, as defined in the Credit Agreement tested quarterly, that limit the Company’s ratio of total debt to EBITDAX (as defined in the Credit Agreement) to 3:1 and require its ratio of consolidated current assets to consolidated current liabilities (as each is described in the Credit Agreement) to remain at 1:1 or higher;</w:t>
      </w:r>
    </w:p>
    <w:p>
      <w:pPr>
        <w:spacing w:after="0" w:line="1" w:lineRule="exact"/>
        <w:rPr>
          <w:sz w:val="20"/>
          <w:szCs w:val="20"/>
          <w:color w:val="auto"/>
        </w:rPr>
      </w:pPr>
    </w:p>
    <w:p>
      <w:pPr>
        <w:jc w:val="both"/>
        <w:ind w:firstLine="8"/>
        <w:spacing w:after="0" w:line="252" w:lineRule="auto"/>
        <w:tabs>
          <w:tab w:leader="none" w:pos="2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making certain payments as defined in the Credit Agreement, including the payment of cash dividends and repurchases of equity interests (subject to certain limited rights to make restricted payments as long as no event of default has occurred, or would result from the restricted payment, certain financial ratios are met and the borrowing availability after giving pro forma effect to any borrowing to be made on the date of the restricted payment is greater than, or equal to, 20% of the then existing borrowing base); (iii) limits on the incurrence of additional indebtedness; (iv) a prohibition on the entry into commodity swap contracts exceeding a specified percentage of our expected production; and (v) restrictions on the disposition of assets.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COMMODITY DERIVATIVES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results of operations and cash flows are affected by changes in market prices for crude oil and natural gas. To manage a portion of its exposure to price volatility from producing crude oil and natural gas, the Company may enter into commodity derivative contracts to protect against price declines in future periods. The Company does not enter into derivative contracts for speculative or trading purposes. The Company does not apply hedge accounting. Accordingly, changes in the fair value of the derivative contracts are recorded in the Condensed Consolidated Statements of Operations and are included as a non-cash adjustment to net loss in the operating activities section in the Condensed Consolidated Statements of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no commodity derivative contracts outstanding.</w:t>
      </w:r>
    </w:p>
    <w:p>
      <w:pPr>
        <w:spacing w:after="0" w:line="200" w:lineRule="exact"/>
        <w:rPr>
          <w:sz w:val="20"/>
          <w:szCs w:val="20"/>
          <w:color w:val="auto"/>
        </w:rPr>
      </w:pPr>
    </w:p>
    <w:p>
      <w:pPr>
        <w:spacing w:after="0" w:line="264" w:lineRule="exact"/>
        <w:rPr>
          <w:sz w:val="20"/>
          <w:szCs w:val="20"/>
          <w:color w:val="auto"/>
        </w:rPr>
      </w:pPr>
    </w:p>
    <w:p>
      <w:pPr>
        <w:ind w:right="7600" w:firstLine="8"/>
        <w:spacing w:after="0" w:line="503"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Contingencies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litigation and claims arising in the ordinary course of business. The Company accrues for such items when a liability is both probable and the amount can be reasonably estimated. In the opinion of management, the anticipated results of any pending litigation and claims are not expected to have a material effect on the results of operations, the financial position, or the cash flows of the Company.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245,000,000 common stock shares authorized. In addition, as of March 31, 2026, and December 31, 2025, the Company had 5,000,000 authorized but unissued shares of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Issuances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10, 2026, the Company closed on an underwritten offering of 8,800,000 shares of common stock, at a price to the public of $1.00 per share generating $8.1 million net of underwriting discounts and offering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22, 2025, the Company entered into an underwriting agreement for the offering of 4,871,400 shares of common stock, at a price to the public of $2.65 per share (such offering, the “Offering”).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 of 4,871,400 shares of common stock (including the full 635,400 over-allotment option) in connection with the Offering, closed on January 23, 2025. The Company generated approximately $11.9 million of net proceeds from the Offering, after deducting the underwriting discounts and commissions and offering costs payable by us, and plans to use such proceeds for the development of its recent acquisition in Montana, general corporate purposes, and working capital, or for other purposes that our board of directors, in their good faith, deems to be in the best interest of the Company. Additionally, management used $1.574 million from the over-allotment option exercise to purchase shares of common stock from Sage Road Capital, LLC (whose co-manager, Joshua L. Batchelor, was a then member of the Board of Directors of the Company) and its affiliates at a price equal to the public offering price of the Offering, less underwriting discounts, which sale took place in January 2025, as discussed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Share Repurchase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2025, the Company entered into a Share Repurchase Agreement with Banner Oil &amp; Gas, LLC (“Banner”), Woodford Petroleum, LLC (“Woodford”), and Sage Road Energy II, LP, (“Sage Road”, and together with Banner and Woodford, the “Selling Stockholders”). In his capacity as co-Managing Partner of Sage Road Capital, LLC, which indirectly controls and manages certain funds which own a majority interest in Banner, Woodford and Sage Road, Joshua L. Batchelor, a then member of the Board of Directors of the Company, may be deemed to beneficially own the shares of common stock held by the Selling Stockholders.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Share Repurchase Agreement, the Company, in a private transaction, outside of, and separate from the Company’s previously disclosed share repurchase program, on January 27, 2025, repurchased (a) 534,020 shares of common stock held by Banner, (b) 41,229 shares of common stock held by Woodford, and (c) 60,151 shares of common stock held by Sage Road, for an aggregate of $1.574 million or approximately $2.48 per share, which was the net price per share of the 4,871,400 shares of common stock sold in our underwritten public offering which closed on January 23, 2025, less underwriting discounts and commissions, and which represented an 8.2% premium to the closing sales price of the Company's common stock on January 27,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Committed Equity Facility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9,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a Common Stock Purchase Agreement and related Registration Rights Agreement with Roth Principal Investments, LLC (“Roth Principal”), providing a discretionary equity facility of up to $25.0 million. Beginning December 1, 2025, the Company may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its option over 24 months from the date the resale registration is declared effective and certain other conditions are met, sell shares of common stock to Roth Principal at a price based on the Nasdaq volume weighted average prices during a specific pricing period, less a 2.5% discount, subject to pricing and ownership limits. The facility is capped at 19.99% of outstanding shares of the Company’s common stock as of the date of the Company’s entry into the Common Stock Purchase Agreement, absent shareholder approval or satisfaction of the Nasdaq pricing exemption and includes a 4.99% beneficial-ownership blocker. As consideration, the Company paid a $25 thousand structuring fee, issued 223,141 shares of common stock as a partial commitment fee (valued at $270,000) (the “Stock Commitment Fee”), agreed to a $180 thousand cash commitment fee, and to reimburse legal fees. Proceeds, if any, are expected to be used for working capital and general corporate purposes.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8,548,382 shares under the Committed Equity Facility and generated $9.1 million in proceeds net of financing costs. As of March 31, 2026, the availability under the Committed Equity Facility is the lesser of $15.9 million or the issuance of 15,328,477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grant stock options under its incentive plan covering shares of common stock to employees and directors of the Company. Stock options, when exercised, are settled through the payment of the exercise price in exchange for new shares of stock underlying the option. These awards typically expire ten years from the grant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2025, stock options to purchase approximately 16.5 thousand shares of common stock were vested, with weighted-average exercise prices of $10.00. As of March 31, 2026, these options had a weighted-average remaining contractual term of 1.8 years. There was no stock-based compensation expense recognized during the three months ended March 31, 2026 or 2025 related to these options.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on March 4, 2026, the Company granted stock options to employees and directors to purchase 3,517,500 shares of common stock at an exercise price of $1.11 per share. Of these options, approximately 1.38 million vest over ten months inclusive of March 2026, 1.50 million vest ratably over four years, beginning January 2, 2027, and 637,500 vest ratably over two years, beginning January 2, 2027.</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grant-date fair value of these options was approximately $0.77 per option, or $2.7 million in the aggregate, as determined using the Black-Scholes option pricing model utilizing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86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586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6.1 years</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86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color w:val="auto"/>
              </w:rPr>
              <w:t>3.77%</w:t>
            </w: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86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volatility was estimated based on the historical volatility of the Company’s common stock over a lookback period deemed representative of the expected life of the options, taking into consideration the Company’s historical trading data and significant corporate developments. The Company evaluated historical volatility using daily stock price data and considered the impact of changes in its business strategy and market conditions over the look-back period. Due to limited historical exercise data and changes in the Company’s operations, management applied judgment in selecting an appropriate volatility assumption reflective of the expected term of the awards.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stock-based compensation of approximately $194 thousand related to the March 4, 2026 grants. As of March 31, 2026, total unrecognized compensation cost related to these awards was approximately $2.5 million, which is expected to be recognized over a weighted-average period of 2.2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restricted stock under its incentive plans covering shares of common stock to employees and directors of the Company. All of the restricted stock awards are time-based awards and are amortized ratably from grant date over a requisite service period. Forfeitures of restricted stock awards are recognized as they occur. Restricted stock granted to employees is reduced by shares forfeited to pay withholding tax. Non-vested shares of restricted stock are not included in common shares outstanding until vesting has occurred.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non-vested restricted stock awards to all employees and directors for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Weighted-Avg.</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8000" w:type="dxa"/>
            <w:vAlign w:val="bottom"/>
          </w:tcPr>
          <w:p>
            <w:pPr>
              <w:spacing w:after="0"/>
              <w:rPr>
                <w:sz w:val="20"/>
                <w:szCs w:val="20"/>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10"/>
        </w:trPr>
        <w:tc>
          <w:tcPr>
            <w:tcW w:w="80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 as of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1,428,680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(735,514)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Non-vested restricted stock as of March 31,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913,166</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8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$0.3 million and $0.4 million, respectively, of stock compensation expense related to restricted stock grants. Unrecognized compensation cost related to non-vested awards not yet recorded in the Company’s Condensed Consolidated Statements of Operations as of March 31, 2026 was $0.7 million. This cost is expected to be recognized over a weighted average period of 1.3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29, 2025, the Board of Directors of the Company authorized and approved an extension of the ongoing share repurchase program for up to $5.0 million of the outstanding shares of the Company’s common stock originally approved by the Board of Directors on April 26, 2023, and subsequently extended. Subject to any future extension in the discretion of the Board of Directors of the Company, the repurchase program is now scheduled to expire on June 30, 2026, when a maximum of $5.0 million of the Company’s common stock has been repurchased, or when such program is discontinued by the Board of Directors.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stock repurchase program, shares are repurchased from time to time in the open market or through negotiated transactions at prevailing market prices, or by other means in accordance with federal securities laws. Repurchases are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is funded using the Company’s working capital. The repurchased shares are cancelled and therefore will not be held in treasury or reissued.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share repurchase program for the three months ended March 31, 2026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28"/>
        </w:trPr>
        <w:tc>
          <w:tcPr>
            <w:tcW w:w="8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8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price per share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1.857</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of shares repurchased</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ASSET RETIREMENT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asset retirement obligations (“ARO”) associated with the future plugging and abandonment of proved properties. Initially, the fair value of a liability for an ARO is recorded in the period in which the ARO is incurred with a corresponding increase in the carrying amount of the related asset. The liability is accreted to its present value each period and the capitalized cost is depleted over the life of the related asset. If the liability is settled for an amount other than the recorded amount, an adjustment to the full cost pool is recognized. The Company had no assets that are restricted for the purpose of settling ARO.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fair value calculation for the ARO there are a number of assumptions and judgments, including the ultimate retirement cost, inflation factors, credit-adjusted risk-free discount rates, timing of retirement and changes in legal, regulatory, environmental, and political environments. To the extent future revisions to assumptions and judgments impact the present value of the existing ARO, a corresponding adjustment is made to the oil and natural gas property balance.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changes in the Company’s liabilities for asset retirement obligations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7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37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4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14,083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Acquired or incurred</w:t>
            </w: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life revisions</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Plugged</w:t>
            </w: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Sold</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(5,571)</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Accretion</w:t>
            </w:r>
          </w:p>
        </w:tc>
        <w:tc>
          <w:tcPr>
            <w:tcW w:w="4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8"/>
                <w:szCs w:val="18"/>
                <w:color w:val="auto"/>
              </w:rPr>
            </w:pPr>
          </w:p>
        </w:tc>
      </w:tr>
      <w:tr>
        <w:trPr>
          <w:trHeight w:val="24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4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8,006</w:t>
            </w:r>
          </w:p>
        </w:tc>
      </w:tr>
      <w:tr>
        <w:trPr>
          <w:trHeight w:val="629"/>
        </w:trPr>
        <w:tc>
          <w:tcPr>
            <w:tcW w:w="3740" w:type="dxa"/>
            <w:vAlign w:val="bottom"/>
            <w:tcBorders>
              <w:top w:val="single" w:sz="8" w:color="CCEEFF"/>
            </w:tcBorders>
          </w:tcPr>
          <w:p>
            <w:pPr>
              <w:spacing w:after="0"/>
              <w:rPr>
                <w:sz w:val="24"/>
                <w:szCs w:val="24"/>
                <w:color w:val="auto"/>
              </w:rPr>
            </w:pPr>
          </w:p>
        </w:tc>
        <w:tc>
          <w:tcPr>
            <w:tcW w:w="426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 The Company’s effective tax rate was approximately 0% and 0% for the three months ended March 31, 2026 and 2025, respectively. The primary difference in the Company’s effective tax rate and the statutory rate for both periods is related to the movement in the valuation allowance against the Company’s net deferred tax assets.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taxes are recognized for the expected future tax consequences of temporary differences between the financial statement and tax basis of assets, liabilities, net operating losses and tax credit carry-forwards. We review our deferred tax assets (“DTAs”) and valuation allowance on a quarterly basis. As part of our review, we consider positive and negative evidence, including cumulative results in recent years.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measures, and discloses uncertain tax positions whereby tax positions must meet a “more-likely-than-not” threshold to be recognized. During the three months ended March 31, 2026 and 2025, no adjustments were recognized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(LOSS) PER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net income (loss) per common share is calculated by dividing net income (loss) attributable to common shareholders by the weighted-average number of common shares outstanding for the respective period. Diluted net income (loss) per common share is calculated by dividing adjusted net income by the diluted weighted average number of common shares outstanding, which includes the effect of potentially dilutive securities. Potentially dilutive securities for this calculation consist of stock options and unvested shares of restricted common stock, which are measured using the treasury stock method. When the Company recognizes a net loss, all potentially dilutive shares are anti-dilutive and are consequently excluded from the calculation of dilutive net loss per common share. Unvested shares of restricted stock participate in dividend distributions; however, they do not participate in losses. Therefore, dividends, if any, attributable to participating securities are not included as a reduction in the calculation of loss attributable to common shareholders.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net loss per share for the three months ended March 31, 2026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8000" w:type="dxa"/>
            <w:vAlign w:val="bottom"/>
          </w:tcPr>
          <w:p>
            <w:pPr>
              <w:spacing w:after="0"/>
              <w:rPr>
                <w:sz w:val="18"/>
                <w:szCs w:val="18"/>
                <w:color w:val="auto"/>
              </w:rPr>
            </w:pPr>
          </w:p>
        </w:tc>
        <w:tc>
          <w:tcPr>
            <w:tcW w:w="314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(3,111)</w:t>
            </w: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32,725</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potentially dilutive securities</w:t>
            </w:r>
          </w:p>
        </w:tc>
        <w:tc>
          <w:tcPr>
            <w:tcW w:w="9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Potential common shares, including restricted stock and stock options issued to employees and directors disclosed in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were excluded from the computation of diluted earnings per share because their effect would have been anti-dilutive.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fair value measurements are estimated pursuant to a fair value hierarchy that requires us to maximize the use of observable inputs and minimize the use of unobservable inputs when measuring fair value. The valuation hierarchy is based upon the transparency of inputs to the valuation of an asset or liability as of the measurement date, giving highest priority to quoted prices in active markets (Level 1) and the lowest priority to unobservable data (Level 3). In some cases, the inputs used to measure fair value might fall in different levels of the fair value hierarchy. The lowest level input that is significant to a fair value measurement in its entirety determines the applicable level in the fair value hierarchy. Assessing the significance of a particular input to the fair value measurement in its entirety requires judgment, considering factors specific to the asset or liability, and may affect the valuation of the assets and liabilities and their placement within the hierarchy level. The three levels of inputs that may be used to measure fair value are defined 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for identical assets and liabilities traded in active markets.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that are directly or indirectly observable for the asset or liability, including quoted prices for similar assets or liabilities in active markets, quoted prices for identical or similar assets or liabilities in active markets, or other observable inputs that can be corroborated by observable market data.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 The following is a description of the valuation methodologies used for complex financial instruments measured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the fair value of marketable equity securities based on quoted market prices obtained from independent pricing services. The Company has an investment in the marketable equity securities of Anfield Energy (“Anfield”), which it acquired as consideration for sales of certain mining operations. Anfield is traded in an active market under the trading symbol AEC:TSXV and has been classified as Level 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approximately 32.3 thousand shares of marketable equity securities valued at $168 thousand and $145 thousand as of March 31, 2026 and December 31,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facility approximates fair value because the interest rate is variable and reflective of market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 fair value due to the short-term nature of those instruments.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measures the fair value of asset retirement obligations as of the date a well is acquired, the date a well begins drilling, or the date the Company revises its ARO assumptions. The Company’s estimated AROs are based on historical experience in plugging and abandoning wells, estimated economic lives, estimated plugging and abandonment costs and federal and state regulatory requirements, all unobservable inputs, and therefore, are designated as Level 3 within the valuation hierarchy. The liability is discounted using the credit-adjusted risk-free rate estimated at the time the liability is incurred or revised upwards. The credit adjusted risk-free rate used to discount the Company’s plugging and abandonment liabilities range from 7.30% to 19.00%. See </w:t>
      </w:r>
      <w:r>
        <w:rPr>
          <w:rFonts w:ascii="Times New Roman" w:cs="Times New Roman" w:eastAsia="Times New Roman" w:hAnsi="Times New Roman"/>
          <w:sz w:val="18"/>
          <w:szCs w:val="18"/>
          <w:i w:val="1"/>
          <w:iCs w:val="1"/>
          <w:color w:val="auto"/>
        </w:rPr>
        <w:t>Note 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the fair value of stock option awards as of the grant date using a Black-Scholes option pricing model. The fair value of stock options is based on a number of assumptions, including the expected term of the awards, expected volatility of the Company’s common stock, risk-free interest rate, and expected dividend yield. These inputs involve significant management judgment and are therefore classified as Level 3 within the fair value hierarchy.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Expected volatility is estimated based on the historical volatility of the Company’s common stock over a lookback period deemed representative of the expected life of the options, taking into consideration the Company’s historical trading data and significant corporate developments. The expected term is estimated using the simplified method, as the Company does not have sufficient historical exercise data. The risk-free interest rate is based on U.S. Treasury yields in effect at the time of grant for maturities consistent with the expected term of the awards. The expected dividend yield is assumed to be zero, as the Company has not paid dividends since 2023 and does not anticipate doing so in the foreseeable future.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p>
    <w:p>
      <w:pPr>
        <w:spacing w:after="0" w:line="200" w:lineRule="exact"/>
        <w:rPr>
          <w:sz w:val="20"/>
          <w:szCs w:val="20"/>
          <w:color w:val="auto"/>
        </w:rPr>
      </w:pPr>
    </w:p>
    <w:p>
      <w:pPr>
        <w:spacing w:after="0" w:line="222" w:lineRule="exact"/>
        <w:rPr>
          <w:sz w:val="20"/>
          <w:szCs w:val="20"/>
          <w:color w:val="auto"/>
        </w:rPr>
      </w:pPr>
    </w:p>
    <w:p>
      <w:pPr>
        <w:ind w:right="3780" w:firstLine="8"/>
        <w:spacing w:after="0" w:line="503" w:lineRule="auto"/>
        <w:tabs>
          <w:tab w:leader="none" w:pos="27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ASSETS AND ACCOUNTS PAYABLE AND ACCRUED LIABILITIES Other Current Assets</w:t>
      </w: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other current assets as of the dates indicated: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Joint interest billings receivable</w:t>
            </w:r>
          </w:p>
        </w:tc>
        <w:tc>
          <w:tcPr>
            <w:tcW w:w="1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tcPr>
          <w:p>
            <w:pPr>
              <w:spacing w:after="0"/>
              <w:rPr>
                <w:sz w:val="18"/>
                <w:szCs w:val="18"/>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0"/>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w:t>
            </w:r>
          </w:p>
        </w:tc>
      </w:tr>
      <w:tr>
        <w:trPr>
          <w:trHeight w:val="413"/>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accounts payable and accrued liabilities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 and oil and natural gas property accruals</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 payable</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3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08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15. SUPPLEMENTAL DISCLOSURES OF CASH FLOW INFORMATION</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capital expenditure accruals</w:t>
            </w:r>
          </w:p>
        </w:tc>
        <w:tc>
          <w:tcPr>
            <w:tcW w:w="1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acquisition of industrial gas properties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(2,632)</w:t>
            </w:r>
          </w:p>
        </w:tc>
      </w:tr>
    </w:tbl>
    <w:p>
      <w:pPr>
        <w:spacing w:after="0" w:line="200" w:lineRule="exact"/>
        <w:rPr>
          <w:sz w:val="20"/>
          <w:szCs w:val="20"/>
          <w:color w:val="auto"/>
        </w:rPr>
      </w:pPr>
    </w:p>
    <w:p>
      <w:pPr>
        <w:spacing w:after="0" w:line="237" w:lineRule="exact"/>
        <w:rPr>
          <w:sz w:val="20"/>
          <w:szCs w:val="20"/>
          <w:color w:val="auto"/>
        </w:rPr>
      </w:pPr>
    </w:p>
    <w:p>
      <w:pPr>
        <w:ind w:right="8980" w:firstLine="8"/>
        <w:spacing w:after="0" w:line="503" w:lineRule="auto"/>
        <w:tabs>
          <w:tab w:leader="none" w:pos="27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Credit Facility</w:t>
      </w: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17, 2026, the Company entered into a Second Amendment (the “Second Amendment”) to its Credit Agreement, dated January 5, 2022 (as previously amended, the “Credit Agreement”), with FirstBank Southwest, as administrative agent, and the lenders party thereto. The Second Amendment, among other things, (i) increased the borrowing base from $10.0 million to $20.0 million, (ii) revised the applicable margin on outstanding borrowings to a fixed 2.00% per annum, (iii) suspended testing of financial covenants through the fiscal quarter ending March 31, 2027, and (iv) made certain other modifications to the Credit Agreement. The Credit Agreement maturity date remains May 31, 2029.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Costless Collar Derivative Contracts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March 31, 2026, the Company entered into costless collar derivative contracts covering a portion of its anticipated crude oil production. The collars reference WTI crude oil (calendar monthly average) and cover approximately 3,800 barrels per month for the period June 2026 through July 2027 (approximately 53,200 barrels in total). Under the terms of the agreements, the Company purchased put options with a floor price of $65.00 per barrel and sold call options with a ceiling price of $88.09 per barrel. The contracts were executed at no upfront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Helium Sales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27, 2026, the Company executed a five-year helium sales agreement with an investment-grade global industrial gas company for the sale of contained helium to be produced at the Company’s Big Sky Carbon Hub in Montana. The Agreement provides for a 100% take-or-pay commitment by the Counterparty for up to approximately 1.2 MMCF per month (14.4 MMCF annually) of helium production, with fixed pricing of $285 per MCF at the plant gate, subject to annual CPI-based escalation beginning March 1, 2028, and includes a price redetermination mechanism in year three with a right of first refusal.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information should be read in conjunction with the interim unaudited Condensed Consolidated Financial Statements and the notes thereto included in this Quarterly Report on Form 10-Q, and the audited Consolidated Financial Statements and notes thereto and “Management’s Discussion and Analysis of Financial Condition and Results of Operations” contained in our Annual Report on Form 10-K for the year ended December 31, 2025, filed with the Securities and Exchange Commission on March 13, 2026 (the “Annual Report”).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abbreviations and oil and gas industry terms used throughout this Report are described and defined in greater detail under “Glossary of Oil, Natural and Industrial Gas Terms” on page 5 of our Annual Report.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capitalized terms used below and otherwise defined below, have the meanings given to such terms in the footnotes to our unaudited Condensed Consolidated Financial Statements included above under “Part I - Financial Information” – “Item 1.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we may rely on and refer to information regarding the industries in which we operate in general from market research reports, analyst reports and other publicly available information. Although we believe that this information is reliable, we cannot guarantee the accuracy and completeness of this information, we have not independently verified any of it, and we have not commissioned any such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“Cautionary Statement About “Forward-Looking Statements”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requires otherwise, references 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 Energy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 Energy Corp.</w:t>
      </w:r>
      <w:r>
        <w:rPr>
          <w:rFonts w:ascii="Times New Roman" w:cs="Times New Roman" w:eastAsia="Times New Roman" w:hAnsi="Times New Roman"/>
          <w:sz w:val="18"/>
          <w:szCs w:val="18"/>
          <w:color w:val="auto"/>
        </w:rPr>
        <w:t>” refer specifically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Corp. and its consolidated subsidiaries.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unless the context otherwise requires and for the purposes of this report only:</w:t>
      </w:r>
    </w:p>
    <w:p>
      <w:pPr>
        <w:spacing w:after="0" w:line="22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refers to one stock tank barrel, or 42 U.S. gallons liquid volume, used in this report in reference to crude oil or other liquid hydrocarbons;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“BOE” refers to barrels of oil equivalent, determined using the ratio of one Bbl of crude oil, condensate, or natural gas liquids, to six Mcf of natural gas;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“Bopd” refers to barrels of oil per day;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gases" refers to helium, carbon dioxide, and hydrocarbons;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“Mcf” refers to a thousand cubic feet of natural gas;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“Mcfe” means 1,000 cubic feet equivalent, determined using the ratio of six Mcf of natural gas to one Bbl of crude oil, condensate or natural gas liquids;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"MMCF" refers to a million cubic feet of natural or industrial gasses;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"MMCF/d" refers to a million cubic feet of natural or industrial gasses;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refers to natural gas liquids;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or the “Commission” refers to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“WTI” means West Texas Intermediate.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Where You Can Find Other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like us at </w:t>
      </w:r>
      <w:r>
        <w:rPr>
          <w:rFonts w:ascii="Times New Roman" w:cs="Times New Roman" w:eastAsia="Times New Roman" w:hAnsi="Times New Roman"/>
          <w:sz w:val="18"/>
          <w:szCs w:val="18"/>
          <w:u w:val="single" w:color="auto"/>
          <w:color w:val="auto"/>
        </w:rPr>
        <w:t>https://www.sec.gov</w:t>
      </w:r>
      <w:r>
        <w:rPr>
          <w:rFonts w:ascii="Times New Roman" w:cs="Times New Roman" w:eastAsia="Times New Roman" w:hAnsi="Times New Roman"/>
          <w:sz w:val="18"/>
          <w:szCs w:val="18"/>
          <w:color w:val="auto"/>
        </w:rPr>
        <w:t xml:space="preserve"> (our filings can be found at </w:t>
      </w:r>
      <w:r>
        <w:rPr>
          <w:rFonts w:ascii="Times New Roman" w:cs="Times New Roman" w:eastAsia="Times New Roman" w:hAnsi="Times New Roman"/>
          <w:sz w:val="18"/>
          <w:szCs w:val="18"/>
          <w:u w:val="single" w:color="auto"/>
          <w:color w:val="auto"/>
        </w:rPr>
        <w:t>https://www.sec.gov/cgi-bin/browse-edgar?action=getcompany&amp;CIK=0000101594</w:t>
      </w:r>
      <w:r>
        <w:rPr>
          <w:rFonts w:ascii="Times New Roman" w:cs="Times New Roman" w:eastAsia="Times New Roman" w:hAnsi="Times New Roman"/>
          <w:sz w:val="18"/>
          <w:szCs w:val="18"/>
          <w:color w:val="auto"/>
        </w:rPr>
        <w:t>) and on the “</w:t>
      </w:r>
      <w:r>
        <w:rPr>
          <w:rFonts w:ascii="Times New Roman" w:cs="Times New Roman" w:eastAsia="Times New Roman" w:hAnsi="Times New Roman"/>
          <w:sz w:val="18"/>
          <w:szCs w:val="18"/>
          <w:u w:val="single" w:color="auto"/>
          <w:color w:val="auto"/>
        </w:rPr>
        <w:t>Investors – SEC Filings</w:t>
      </w:r>
      <w:r>
        <w:rPr>
          <w:rFonts w:ascii="Times New Roman" w:cs="Times New Roman" w:eastAsia="Times New Roman" w:hAnsi="Times New Roman"/>
          <w:sz w:val="18"/>
          <w:szCs w:val="18"/>
          <w:color w:val="auto"/>
        </w:rPr>
        <w:t xml:space="preserve">” page of our website at </w:t>
      </w:r>
      <w:r>
        <w:rPr>
          <w:rFonts w:ascii="Times New Roman" w:cs="Times New Roman" w:eastAsia="Times New Roman" w:hAnsi="Times New Roman"/>
          <w:sz w:val="18"/>
          <w:szCs w:val="18"/>
          <w:u w:val="single" w:color="auto"/>
          <w:color w:val="auto"/>
        </w:rPr>
        <w:t>https://usnrg.com</w:t>
      </w:r>
      <w:r>
        <w:rPr>
          <w:rFonts w:ascii="Times New Roman" w:cs="Times New Roman" w:eastAsia="Times New Roman" w:hAnsi="Times New Roman"/>
          <w:sz w:val="18"/>
          <w:szCs w:val="18"/>
          <w:color w:val="auto"/>
        </w:rPr>
        <w:t>. Copies of documents filed by us with the SEC are also available from us without charge, upon oral or written request to our Secretary, who can be contacted at the address and telephone number set forth on the cover page of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The Information Contained in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(MD&amp;A) is provided in addition to the accompanying unaudited Condensed Consolidated Financial Statements and notes to assist readers in understanding our results of operations, financial condition, and cash flows. MD&amp;A is organized as follows:</w:t>
      </w:r>
    </w:p>
    <w:p>
      <w:pPr>
        <w:spacing w:after="0" w:line="17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Overview</w:t>
      </w:r>
      <w:r>
        <w:rPr>
          <w:rFonts w:ascii="Times New Roman" w:cs="Times New Roman" w:eastAsia="Times New Roman" w:hAnsi="Times New Roman"/>
          <w:sz w:val="18"/>
          <w:szCs w:val="18"/>
          <w:color w:val="auto"/>
        </w:rPr>
        <w:t>. A general overview of the Company and our operations.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Recent Developments</w:t>
      </w:r>
      <w:r>
        <w:rPr>
          <w:rFonts w:ascii="Times New Roman" w:cs="Times New Roman" w:eastAsia="Times New Roman" w:hAnsi="Times New Roman"/>
          <w:sz w:val="18"/>
          <w:szCs w:val="18"/>
          <w:color w:val="auto"/>
        </w:rPr>
        <w:t>. Discussion of recent developments affecting the Company and our operations.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of Operations and Strategy</w:t>
      </w:r>
      <w:r>
        <w:rPr>
          <w:rFonts w:ascii="Times New Roman" w:cs="Times New Roman" w:eastAsia="Times New Roman" w:hAnsi="Times New Roman"/>
          <w:sz w:val="18"/>
          <w:szCs w:val="18"/>
          <w:color w:val="auto"/>
        </w:rPr>
        <w:t>. Discussion of our strategy moving forward and how we plan to seek to increase stockholder value.</w:t>
      </w:r>
    </w:p>
    <w:p>
      <w:pPr>
        <w:spacing w:after="0" w:line="279"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Critical Accounting Policies and Estimates</w:t>
      </w:r>
      <w:r>
        <w:rPr>
          <w:rFonts w:ascii="Times New Roman" w:cs="Times New Roman" w:eastAsia="Times New Roman" w:hAnsi="Times New Roman"/>
          <w:sz w:val="18"/>
          <w:szCs w:val="18"/>
          <w:color w:val="auto"/>
        </w:rPr>
        <w:t>. Accounting estimates that we believe are important to understanding the assumptions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judgments incorporated in our reported financial results and forecasts.</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Operations</w:t>
      </w:r>
      <w:r>
        <w:rPr>
          <w:rFonts w:ascii="Times New Roman" w:cs="Times New Roman" w:eastAsia="Times New Roman" w:hAnsi="Times New Roman"/>
          <w:sz w:val="18"/>
          <w:szCs w:val="18"/>
          <w:color w:val="auto"/>
        </w:rPr>
        <w:t>. An analysis of our financial results comparing the three months ended March 31, 2026 and 2025.</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r>
        <w:rPr>
          <w:rFonts w:ascii="Times New Roman" w:cs="Times New Roman" w:eastAsia="Times New Roman" w:hAnsi="Times New Roman"/>
          <w:sz w:val="18"/>
          <w:szCs w:val="18"/>
          <w:color w:val="auto"/>
        </w:rPr>
        <w:t>. A discussion of our financial condition, including descriptions of balance sheet information and cash flows.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Energy Corp. (collectively with its wholly-owned subsidiaries are referred to as the “Company”) is incorporated in the State of Delaware. The Company’s principal business activities are focused on the acquisition, exploration, and development of industrial gases, oil and natural gas properties in the United States.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Final Investment Decision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Big Sky Carbon Hub</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During the first quarter of 2026, the Company reached a final investment decision (“FID”) for the construction of its processing facility at the Big Sky Carbon Hub in Montana and executed a fixed-scope engineering, procurement and construction agreement, initiating capital deployment for the project. The planned facility is designed with an initial inlet capacity of approximately 8.0 MMCF/d, targeting approximately 12 MMCF of annual helium production and 125,000 metric tons of refined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per year. The Company expects to commence gathering pipeline installation in spring 2026, with commissioning targeted for the third quarter of 2026 and initial helium sales and carbon management operations anticipated in 2027.</w:t>
      </w: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anticipation of reaching FID, during three months ended March 31, 2026, the Company generated $17.2 million in proceeds from equity issuances. Additionally, on April 17, 2026, the Company entered into an amendment to its Credit Facility with FirstBank Southwest that among other things, (i) increased the borrowing base from $10.0 million to $20.0 million, (ii) revised the applicable margin on outstanding borrowings to a fixed 2.00% per annum, and (iii) suspended testing of financial covenants through the fiscal quarter ending March 31, 2027. The Credit Facility maturity date remains May 31, 2029.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Helium Sales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27, 2026, the Company executed a five-year helium sales agreement with an investment-grade global industrial gas company for the sale of contained helium to be produced at the Company’s Big Sky Carbon Hub in Montana. The Agreement provides for a 100% take-or-pay commitment by the Counterparty for up to approximately 1.2 MMCF per month (14.4 MMCF annually) of helium production, with fixed pricing of $285 per MCF at the plant gate, subject to annual (consumer price index) CPI-based escalation beginning March 1, 2028, and includes a price redetermination mechanism in year three with a right of first refusal.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Operations and Strategy</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During the remainder of 2026 and beyond, we intend to pursue opportunities across the industrial gas sector, with a strategic emphasis on the next phase of development and monetization of our helium and carbon dioxide resources. While we will continue to operate oil and gas assets, our primary focus is on maximizing value from associated industrial gases. Our activities may include the acquisition of assets, participation with industry partners in development projects, acquisition of existing companies, and the purchase or development of industrial gas-related assets. Planned operations include construction of processing facilities, negotiating operating arrangements, finalizing gathering and infrastructure designs, and pursuing the use of a portion of produced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in tertiary recovery operation in our Montana oil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business strategy include:</w:t>
      </w:r>
    </w:p>
    <w:p>
      <w:pPr>
        <w:spacing w:after="0" w:line="223" w:lineRule="exact"/>
        <w:rPr>
          <w:sz w:val="20"/>
          <w:szCs w:val="20"/>
          <w:color w:val="auto"/>
        </w:rPr>
      </w:pPr>
    </w:p>
    <w:p>
      <w:pPr>
        <w:jc w:val="both"/>
        <w:ind w:left="660" w:hanging="652"/>
        <w:spacing w:after="0" w:line="26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Deploy our Capital in a Conservative and Strategic Manner and Review Opportunities to Bolster our Liquidity</w:t>
      </w:r>
      <w:r>
        <w:rPr>
          <w:rFonts w:ascii="Times New Roman" w:cs="Times New Roman" w:eastAsia="Times New Roman" w:hAnsi="Times New Roman"/>
          <w:sz w:val="18"/>
          <w:szCs w:val="18"/>
          <w:color w:val="auto"/>
        </w:rPr>
        <w:t>. In the current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 maintaining liquidity remains critical. We intend to be selective in evaluating projects, prioritizing those that enhance industrial gas value, and to review opportunities to strengthen our liquidity and financial position through disciplined capital allocation and other means.</w:t>
      </w:r>
    </w:p>
    <w:p>
      <w:pPr>
        <w:spacing w:after="0" w:line="173" w:lineRule="exact"/>
        <w:rPr>
          <w:rFonts w:ascii="Times New Roman" w:cs="Times New Roman" w:eastAsia="Times New Roman" w:hAnsi="Times New Roman"/>
          <w:sz w:val="18"/>
          <w:szCs w:val="18"/>
          <w:color w:val="auto"/>
        </w:rPr>
      </w:pPr>
    </w:p>
    <w:p>
      <w:pPr>
        <w:ind w:left="660" w:hanging="652"/>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Evaluate and Pursue Value-Enhancing Transactions</w:t>
      </w:r>
      <w:r>
        <w:rPr>
          <w:rFonts w:ascii="Times New Roman" w:cs="Times New Roman" w:eastAsia="Times New Roman" w:hAnsi="Times New Roman"/>
          <w:sz w:val="18"/>
          <w:szCs w:val="18"/>
          <w:color w:val="auto"/>
        </w:rPr>
        <w:t>. We plan to continuously evaluate strategic alternatives, including transactions that expand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industrial gas platform or optimize our oil and gas assets, with the objective of enhancing long-term stockholder value.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preparation of our unaudited Condensed Consolidated Financial Statements in conformity with generally accepted accounting principles in the United States (“GAAP”) requires us to make assumptions and estimates that affect the reported amounts of assets, liabilities, revenues and expenses, as well as the disclosure of contingent assets and liabilities at the date of our financial statements and the reported amounts of revenues and expenses during the reporting period. Actual results may differ from these estimates under different assumptions or conditions. A summary of our significant accounting policies is detailed in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xml:space="preserve"> of our 2025 Annual Report on Form 10-K filed with the SEC on March 13,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our Statements of Operations for the Three Months Ended March 31, 2026 and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recorded a net loss of $3.2 million, which was primarily due to lower production resulting from divestitures in prior periods. In the following sections, we discuss our revenue, operating expenses, and other income (expense) for the three months ended March 31, 2026 compared to the three months ended March 31, 2025.</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Presented below is a comparison of our oil and natural gas sales, production quantities and average sales prices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2026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Pr>
          <w:p>
            <w:pPr>
              <w:spacing w:after="0"/>
              <w:rPr>
                <w:sz w:val="20"/>
                <w:szCs w:val="20"/>
                <w:color w:val="auto"/>
              </w:rPr>
            </w:pPr>
          </w:p>
        </w:tc>
        <w:tc>
          <w:tcPr>
            <w:tcW w:w="150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4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60" w:type="dxa"/>
            <w:vAlign w:val="bottom"/>
            <w:gridSpan w:val="12"/>
          </w:tcPr>
          <w:p>
            <w:pPr>
              <w:jc w:val="right"/>
              <w:ind w:right="760"/>
              <w:spacing w:after="0"/>
              <w:rPr>
                <w:sz w:val="20"/>
                <w:szCs w:val="20"/>
                <w:color w:val="auto"/>
              </w:rPr>
            </w:pPr>
            <w:r>
              <w:rPr>
                <w:rFonts w:ascii="Times New Roman" w:cs="Times New Roman" w:eastAsia="Times New Roman" w:hAnsi="Times New Roman"/>
                <w:sz w:val="18"/>
                <w:szCs w:val="18"/>
                <w:color w:val="auto"/>
              </w:rPr>
              <w:t>(in thousands except average prices and production quantities)</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and liquids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54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5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96"/>
        </w:trPr>
        <w:tc>
          <w:tcPr>
            <w:tcW w:w="54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Production quantities: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(Bbls)</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29,994</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(8,152)</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and liquids (Mcfe)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102,090</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(27,402)</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BOE</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47,008</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(12,718)</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BOE/Day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(Bbls)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and liquids (Mcfe)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our oil and natural gas revenue of $0.6 million for the three months ended March 31, 2026, as compared to the three months ended March 31, 2025, was primarily due to a decrease of 27% in production quantities. For the three months ended March 31, 2026, we produced 34,290 BOE, or an average of 381 BOE per day, as compared to 47,008 BOE or an average of 522 BOE per day during the comparable period in 2025. The decrease in our production quantities primarily relates to the divestitures of our properties in Wyoming and West Texas and the natural decline in production in remaining producing assets. During the three months ended March 31, 2026, our production was 64% oil and 36% natural gas and liquids compared to 64% oil and 36% natural gas and liquids produced during the three months ended March 31,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Oil and Natural Gas Production Costs</w:t>
      </w:r>
      <w:r>
        <w:rPr>
          <w:rFonts w:ascii="Times New Roman" w:cs="Times New Roman" w:eastAsia="Times New Roman" w:hAnsi="Times New Roman"/>
          <w:sz w:val="18"/>
          <w:szCs w:val="18"/>
          <w:color w:val="auto"/>
        </w:rPr>
        <w:t>. Presented below is a comparison of our oil and natural gas production costs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290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Pr>
          <w:p>
            <w:pPr>
              <w:spacing w:after="0"/>
              <w:rPr>
                <w:sz w:val="20"/>
                <w:szCs w:val="20"/>
                <w:color w:val="auto"/>
              </w:rPr>
            </w:pPr>
          </w:p>
        </w:tc>
        <w:tc>
          <w:tcPr>
            <w:tcW w:w="150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4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4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operating expenses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Production taxes</w:t>
            </w:r>
          </w:p>
        </w:tc>
        <w:tc>
          <w:tcPr>
            <w:tcW w:w="8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expense</w:t>
            </w: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1,141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96"/>
        </w:trPr>
        <w:tc>
          <w:tcPr>
            <w:tcW w:w="546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operating expense per BOE</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26.54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34.57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lease operating expenses were $0.9 million or $26.54 per BOE. While lease operating expenses decreased by $0.7 million when compared to $1.6 million or $34.57 per BOE for the three months ended March 31, 2025, the cost on a BOE basis decreased as the mix of properties changed as a result of the divestment of our Wyoming and West Texas properties.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production taxes consistently remain between 6% and 8% of revenue. This decrease in production taxes was attributable to the decrease in revenue of 27% discussed above.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Exploration expense increased $101 thousand, which was attributable to an increase in exploration activities for our industrial gas development, namely professional services supporting resource estimation and analysis and legal work.</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Depreciation, Depletion and Amortization. </w:t>
      </w:r>
      <w:r>
        <w:rPr>
          <w:rFonts w:ascii="Times New Roman" w:cs="Times New Roman" w:eastAsia="Times New Roman" w:hAnsi="Times New Roman"/>
          <w:sz w:val="18"/>
          <w:szCs w:val="18"/>
          <w:color w:val="auto"/>
        </w:rPr>
        <w:t>Our depreciation, depletion, and amortization (“DD&amp;A”) was $0.6 million and $1.1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2026 and 2025, respectively. Depletion expense on our oil and natural gas properties is the primary driver of DD&amp;A expense. Our depletion rate was $10.94 per BOE and $13.35 per BOE for the three months ended March 31, 2026 and 2025, respectively. Our depletion rate can fluctuate modestly because of acquisitions, changes in drilling and completion costs, impairments, revisions in asset retirement obligation cost estimates or timing, divestitures, changes in the mix of our production, the underlying proved reserve volumes and estimated future development costs.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Presented below is a comparison of our general and administrative expenses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20"/>
                <w:szCs w:val="20"/>
                <w:color w:val="auto"/>
              </w:rPr>
            </w:pPr>
          </w:p>
        </w:tc>
        <w:tc>
          <w:tcPr>
            <w:tcW w:w="13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4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10"/>
        </w:trPr>
        <w:tc>
          <w:tcPr>
            <w:tcW w:w="4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insurance and other</w:t>
            </w: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952</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6"/>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3,048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$0.7 million for the three months ended March 31, 2026 as compared to the prior year period. The increase was primarily attributable to the timing of discretionary compensation, which occurred during the three months ended March 31, 2026. Professional fees decreased primarily due to a reduction in acquisition-related costs relative to the activity in the three months ended March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Presented below is a comparison of our other income (expense) for the three months ended March 31,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290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60" w:type="dxa"/>
            <w:vAlign w:val="bottom"/>
          </w:tcPr>
          <w:p>
            <w:pPr>
              <w:spacing w:after="0"/>
              <w:rPr>
                <w:sz w:val="20"/>
                <w:szCs w:val="20"/>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7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10"/>
        </w:trPr>
        <w:tc>
          <w:tcPr>
            <w:tcW w:w="5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gridSpan w:val="4"/>
          </w:tcPr>
          <w:p>
            <w:pPr>
              <w:jc w:val="right"/>
              <w:ind w:right="493"/>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(16)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57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9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(18)</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5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primarily represents the interest and fees on our credit facility with FirstBank Southwest. As of December 31, 2025 and March 31, 2026, we had $2.5 million outstanding on our credit facility. For the three months ended March 31, 2026, interest expense included interest incurred on the outstanding loan and fees to maintain our credit facility. For the three months ended March 31, 2025, we had no amounts outstanding under the credit facility and our interest expense comprised of fees to maintain our credit facility.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current commodity price environment and our existing working capital, we believe we have sufficient liquidity and capital resources to execute our business plan and meet our current financial obligations. As of March 31, 2026, the Company was in compliance with all financial covenants under its credit facility. We continue to actively manage our capital commitments to maintain flexibility with respect to the timing and level of our development activities and capital expenditures.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remainder of 2026, the Company’s capital program is designed to advance the Big Sky project toward initial commercial operations targeted for the first quarter of 2027. We anticipate an aggregate near-term capital program to range between $28.0 million and $32.0 million, primarily related to the construction of our gas processing plant, production gathering system, and related infrastructure at our industrial gas development project. In addition, we may incur up to approximately $0.6 million for plugging and abandonment activities, depending on regulatory requirements, timing, and weather conditions. We expect these expenditures to be funded through a combination of cash on hand, operating cash flows, proceeds from the divestiture of oil and natural gas properties, borrowings under our credit facility, additional equity issuances, and potential project-specific financing, including equity and debt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Cash</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funded our capital expenditures primarily through cash on hand and proceeds from equity issuances. During the period, we generated approximately $17.2 million from equity sales and issuances and had cash and cash equivalents of approximately $10.5 million as of March 31,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17, 2026, the Company entered into an amendment to its credit facility with FirstBank Southwest, which, among other things, increased the borrowing base from $10.0 million to $20.0 million, revised the applicable margin on outstanding borrowings to a fixed 2.00% per annum, and suspended testing of financial covenants through the fiscal quarter ending March 31, 2027. The maturity date of the credit facility remains May 31, 2029. The increased borrowing base provides us access to an additional $17.5 million of capital.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future periods, if cash flows from operations are insufficient to fund capital expenditures and operating requirements, we may seek additional financing through public or private equity or debt offerings or other financing arrangements. We may also adjust the timing and scope of our capital program based on market conditions and capital availability. Our ability to access capital is subject to prevailing economic conditions, including changes in commodity prices, interest rates, capital markets, regulatory requirements, and other factors beyond our control.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Uses of Cash</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cash primarily for the development of our industrial gas assets, including construction of processing and gathering infrastructure, as well as for operating expenses, general and administrative costs, and debt service obligations. During the three months ended March 31, 2026, we spent approximately $4.4 million on the acquisition and development of industrial gas properties and expect to continue allocating capital to the Big Sky project for the remainder of the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28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79"/>
              </w:rPr>
              <w:t>thousands)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3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(2,452)</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(4,431)</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16,905</w:t>
            </w:r>
          </w:p>
        </w:tc>
        <w:tc>
          <w:tcPr>
            <w:tcW w:w="4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9,745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7,160</w:t>
            </w:r>
          </w:p>
        </w:tc>
        <w:tc>
          <w:tcPr>
            <w:tcW w:w="0" w:type="dxa"/>
            <w:vAlign w:val="bottom"/>
          </w:tcPr>
          <w:p>
            <w:pPr>
              <w:spacing w:after="0"/>
              <w:rPr>
                <w:sz w:val="1"/>
                <w:szCs w:val="1"/>
                <w:color w:val="auto"/>
              </w:rPr>
            </w:pPr>
          </w:p>
        </w:tc>
      </w:tr>
      <w:tr>
        <w:trPr>
          <w:trHeight w:val="414"/>
        </w:trPr>
        <w:tc>
          <w:tcPr>
            <w:tcW w:w="3900" w:type="dxa"/>
            <w:vAlign w:val="bottom"/>
          </w:tcPr>
          <w:p>
            <w:pPr>
              <w:spacing w:after="0"/>
              <w:rPr>
                <w:sz w:val="24"/>
                <w:szCs w:val="24"/>
                <w:color w:val="auto"/>
              </w:rPr>
            </w:pPr>
          </w:p>
        </w:tc>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of $2.5 million for the three months ended March 31, 2026 was mainly due to a $3.2 million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and a reduction of working capital of $0.3 million and $0.6 million of depreciation, depletion, accretion. Cash used by operating activities of $4.5 million for the three months ended March 31, 2025, was mainly due to a net loss of $3.1 million, reduction of payables of $2.6 million offset by $1.1 million of depreciation, depletion, accretion, and amortization.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three months ended March 31, 2026 was $4.4 million as compared to cash used in investing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activities of $2.4 million for the comparable period in 2025. The primary use of cash in our investing activities for the three months ended March 31, 2026 was attributable to initial plant construction costs. For the three months ended March 31, 2025, the cash investment was primarily attributed to the Synergy acquisition discussed in </w:t>
      </w:r>
      <w:r>
        <w:rPr>
          <w:rFonts w:ascii="Times New Roman" w:cs="Times New Roman" w:eastAsia="Times New Roman" w:hAnsi="Times New Roman"/>
          <w:sz w:val="18"/>
          <w:szCs w:val="18"/>
          <w:i w:val="1"/>
          <w:iCs w:val="1"/>
          <w:color w:val="auto"/>
        </w:rPr>
        <w:t>Note 2 - Acquisitions and Divestitures.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for the three months ended March 31, 2026 was $16.9 million as compared to $9.8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comparable period in 2025. The primary drivers of this cash inflow were equity issuances of $17.2 million during the three months ended March 31, 2026, compared to $11.9 million in the prior period, which in the prior period were reduced by a related party share repurchase of $1.6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Item 305(e) of Regulation S-K (§ 229.305(e)), the Company is not required to provide the information required by this Item as it is a “smaller reporting company,” as defined by Rule 229.10(f)(1).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to maintain disclosure controls and procedures (as defined by Rules 13a-15(e) and 15d-15(e) under the Exchange Act) designed to ensure that information required to be disclosed by the Company in reports filed or submitted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management, including the Company’s Chief Executive Officer and Chief Financial Officer, evaluated the effectiveness of the design and operation of the Company’s disclosure controls and procedures (as defined in Rules 13a-15(e) and 15d-15(e) under the Exchange Act). Based on this evaluation, the Chief Executive Officer and Chief Financial Officer concluded that the Company’s disclosure controls and procedures were effective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management recognizes that any controls and procedures, no matter how well designed and operated, can provide only reasonable assurance of achieving their objectives. In addition, the design of disclosure controls and procedures must reflect that resource constraints exist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three months ended March 31, 2026, that have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party to litigation or other legal proceedings that we consider to be a part of the ordinary course of our business. We are not currently involved in any legal proceedings that we believe could reasonably be expected to have a material adverse effect on our business, prospects, financial condition or results of operations. We may become involved in material legal proceedings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noted below, there have been no material changes from the risk factors previously disclosed in the Company’s Annual Report on Form 10-K for the year ended December 31, 2025, as filed with the SEC on March 13, 2026, under the heading “Item 1A. Risk Factors”, except as set forth below, and investors should review the risks provided in the Annual Report and below, prior to making an investment in the Company. The business, financial condition and operating results of the Company can be affected by a number of factors, whether currently known or unknown, including but not limited to those described in the Annual Report and below, any one or more of which could, directly or indirectly, cause the Company’s actual financial condition and operating results to vary materially from past, or from anticipated future, financial condition and operating results. Any of these factors, in whole or in part, could materially and adversely affect the Company’s business, financial condition, operating results and stock price.</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Geopolitical Conflict and Disruptions to Global Energy Markets, Including Risks Associated with the Strait of Hormuz, May Adversely Affect Our Business,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Ongoing geopolitical conflict involving Iran and other countries in the Middle East has created significant volatility and uncertainty in global energy markets. The Strait of Hormuz, a critical transit chokepoint through which approximately 20% of the world’s oil supply and a significant portion of liquefied natural gas flows, has experienced material disruption, including reduced vessel traffic, military activity, and heightened security risks.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our operations are domestic, our business is indirectly exposed to global energy market conditions. Disruptions to supply, transportation constraints, or perceived risks of interruption in the Strait of Hormuz or surrounding regions may result in significant commodity price volatility, including rapid increases or decreases in oil and natural gas prices, as well as dislocations in supply chains and end markets.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military escalation or collateral damage affecting energy infrastructure, shipping routes, or regional production facilities in the Middle East may further exacerbate global supply shortages, increase input and operating costs, and contribute to broader macroeconomic instability, including inflationary pressures or recessionary conditions. These conditions may adversely impact demand for our products and services, disrupt capital markets, and impair our ability to access financing on acceptable terms.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ongoing development of a domestic industrial gas project, including the production and commercialization of helium and other gases, may also be adversely affected by such geopolitical events. Supply chain disruptions, equipment procurement delays, cost inflation, or volatility in industrial gas pricing could delay project timelines, increase capital expenditures, or reduce expected returns.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geopolitical instability may result in heightened regulatory scrutiny, trade restrictions, sanctions, or changes in U.S. energy policy, any of which could adversely affect our operations, counterparties, or strategic initiatives. The extent and duration of these risks remain uncertain and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the Helium Sales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a five-year helium sales agreement with an investment-grade counterparty that commits substantially all future helium production from our planned Big Sky project at a largely fixed price. While the agreement provides revenue visibility and supports project financing, it limits our ability to benefit from higher helium prices, may expose us to margin compression if production or inflation-related costs exceed the contract price, and restricts our flexibility to sell to alternative buyers on more favorable terms. The agreement also exposes us to counterparty, operational, commencement, and future price redetermination risks. As a result, the agreement could constrain our upside and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and EPC Execution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ability to successfully develop its gas processing facility depends on the timely and cost-effective execution of its engineering, procurement and construction (“EPC”) agreement and the completion of both offsite fabrication and onsite construction activities. These efforts are subject to a variety of risks, including potential delays in engineering design, procurement of critical equipment, module fabrication, transportation logistics, site preparation, and field construction. The Company may also encounter cost overruns due to labor shortages, inflationary pressures, contractor performance issues, supply chain disruptions, adverse weather conditions, or unforeseen site or subsurface conditions. In addition, integration risks between offsite fabricated components and onsite installation could result in rework, inefficiencies, or commissioning delays. Any such delays or cost increases could materially impact the project schedule, capital expenditures, and expected timing of initial operations, which in turn could have a material adverse effect on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Future changes to U.S. tax laws and regulations, including potential changes to carbon capture incentives, could adversely affect our business, financial condition, results of operations, and cash flows.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legislative and regulatory proposals are introduced that could significantly affect the U.S. tax treatment of companies engaged in industrial gas, oil and natural gas exploration, development, and production. These proposals have included, among other items, the elimination of the immediate deduction for intangible drilling and development costs, the repeal of the percentage depletion allowance for oil and gas properties, changes to the treatment of certain domestic production activities, and the extension of amortization periods for geological and geophysical expenditures. The enactment of any such changes, or other similar measures that reduce or eliminate tax benefits currently available to our industry, could increase our tax burden, reduce cash flows, and adversely impact the economics of our projects.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business strategy includes the development of carbon management initiatives that may be eligible for federal tax incentives, including credits available under Section 45Q of the Internal Revenue Code for the capture and sequestration or utilization of carbon dioxide. The availability, value,</w:t>
      </w:r>
    </w:p>
    <w:p>
      <w:pPr>
        <w:sectPr>
          <w:pgSz w:w="11900" w:h="16838" w:orient="portrait"/>
          <w:cols w:equalWidth="0" w:num="1">
            <w:col w:w="11240"/>
          </w:cols>
          <w:pgMar w:left="320" w:top="121" w:right="339" w:bottom="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and timing of benefits under Section 45Q depend on a number of factors, including final regulatory guidance, compliance with detailed technical and operational requirements, verification and reporting obligations, and our ability to place qualifying facilities in service and operate them in accordance with applicable standards. Legislative, regulatory, or administrative changes could reduce, delay, or eliminate the availability of these credits, including changes to eligibility thresholds, credit amounts, transferability provisions, or recapture rules. In addition, failure to satisfy applicable requirements or to sustain qualifying operations over the required period could result in the loss or recapture of previously claimed credits. Any of these developments could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sales of unregistered securities during the quarter ended March 31, 2026 which have not previously been reported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share repurchase activity for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3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Borders>
              <w:bottom w:val="single" w:sz="8" w:color="auto"/>
            </w:tcBorders>
          </w:tcPr>
          <w:p>
            <w:pPr>
              <w:jc w:val="center"/>
              <w:ind w:left="171"/>
              <w:spacing w:after="0" w:line="239" w:lineRule="exact"/>
              <w:rPr>
                <w:sz w:val="20"/>
                <w:szCs w:val="20"/>
                <w:color w:val="auto"/>
              </w:rPr>
            </w:pPr>
            <w:r>
              <w:rPr>
                <w:rFonts w:ascii="Times New Roman" w:cs="Times New Roman" w:eastAsia="Times New Roman" w:hAnsi="Times New Roman"/>
                <w:sz w:val="17"/>
                <w:szCs w:val="17"/>
                <w:b w:val="1"/>
                <w:bCs w:val="1"/>
                <w:color w:val="auto"/>
              </w:rPr>
              <w:t>Programs</w:t>
            </w:r>
            <w:r>
              <w:rPr>
                <w:rFonts w:ascii="Times New Roman" w:cs="Times New Roman" w:eastAsia="Times New Roman" w:hAnsi="Times New Roman"/>
                <w:sz w:val="27"/>
                <w:szCs w:val="27"/>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10"/>
              <w:spacing w:after="0" w:line="239" w:lineRule="exact"/>
              <w:rPr>
                <w:sz w:val="20"/>
                <w:szCs w:val="20"/>
                <w:color w:val="auto"/>
              </w:rPr>
            </w:pPr>
            <w:r>
              <w:rPr>
                <w:rFonts w:ascii="Times New Roman" w:cs="Times New Roman" w:eastAsia="Times New Roman" w:hAnsi="Times New Roman"/>
                <w:sz w:val="17"/>
                <w:szCs w:val="17"/>
                <w:b w:val="1"/>
                <w:bCs w:val="1"/>
                <w:color w:val="auto"/>
              </w:rPr>
              <w:t>Programs</w:t>
            </w:r>
            <w:r>
              <w:rPr>
                <w:rFonts w:ascii="Times New Roman" w:cs="Times New Roman" w:eastAsia="Times New Roman" w:hAnsi="Times New Roman"/>
                <w:sz w:val="27"/>
                <w:szCs w:val="27"/>
                <w:b w:val="1"/>
                <w:bCs w:val="1"/>
                <w:color w:val="auto"/>
                <w:vertAlign w:val="superscript"/>
              </w:rPr>
              <w:t>(1)</w:t>
            </w:r>
          </w:p>
        </w:tc>
        <w:tc>
          <w:tcPr>
            <w:tcW w:w="100" w:type="dxa"/>
            <w:vAlign w:val="bottom"/>
          </w:tcPr>
          <w:p>
            <w:pPr>
              <w:spacing w:after="0"/>
              <w:rPr>
                <w:sz w:val="20"/>
                <w:szCs w:val="20"/>
                <w:color w:val="auto"/>
              </w:rPr>
            </w:pPr>
          </w:p>
        </w:tc>
      </w:tr>
      <w:tr>
        <w:trPr>
          <w:trHeight w:val="20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January 31, 2026</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3,514,370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 2026</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273"/>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3,514,370</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2026</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3,514,370</w:t>
            </w:r>
          </w:p>
        </w:tc>
      </w:tr>
      <w:tr>
        <w:trPr>
          <w:trHeight w:val="20"/>
        </w:trPr>
        <w:tc>
          <w:tcPr>
            <w:tcW w:w="3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440" w:type="dxa"/>
            <w:vAlign w:val="bottom"/>
          </w:tcPr>
          <w:p>
            <w:pPr>
              <w:jc w:val="right"/>
              <w:ind w:right="127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3,514,370</w:t>
            </w: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50" w:lineRule="auto"/>
        <w:tabs>
          <w:tab w:leader="none" w:pos="226"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On January 29, 2025, the Board of Directors of the Company authorized and approved an extension of the ongoing share repurchase program for up to $5.0 million of the currently outstanding shares of the Company’s common stock originally approved by the Board of Directors on April 26, 2023 and subsequently amended, subject to any future extension in the discretion of the Board of Directors of the Company, the repurchase program is now scheduled to expire on June 30, 2026, when a maximum of $5.0 million of the Company’s common stock has been repurchased, or when such program is discontinued by the Board of Directors. Under the stock repurchase program, shares may be repurchased from time to time in the open market or through negotiated transactions at prevailing market rates, or by other means in accordance with federal securities laws. Repurchases are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is funded using the Company’s working capital. The program does not obligate the Company to acquire a minimum amount of shares.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jc w:val="both"/>
        <w:ind w:firstLine="8"/>
        <w:spacing w:after="0" w:line="258" w:lineRule="auto"/>
        <w:tabs>
          <w:tab w:leader="none" w:pos="251"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Rule 10b5-1 Trading Plans. </w:t>
      </w:r>
      <w:r>
        <w:rPr>
          <w:rFonts w:ascii="Times New Roman" w:cs="Times New Roman" w:eastAsia="Times New Roman" w:hAnsi="Times New Roman"/>
          <w:sz w:val="18"/>
          <w:szCs w:val="18"/>
          <w:color w:val="auto"/>
        </w:rPr>
        <w:t>Our directors and executive officers may from time to time enter into plans or other arrangements for the purchase 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shares that are intended to satisfy the affirmative defense conditions of Rule 10b5-1(c) or may represent a non-Rule 10b5-1 trading arrangement under the Exchange Act. During the quarter ended March 31, 2026, none of the Company’s directors or officers (as defined in Rule 16a-1(f)) adopted or terminated any contract, instruction or written plan for the purchase or sale of Company securities that was intended to satisfy the affirmative defense conditions of Rule 10b5-1(c) or any “non-Rule 10b5-1 trading arrangement.”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723"/>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0"/>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 /</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Furnished</w:t>
            </w:r>
          </w:p>
        </w:tc>
      </w:tr>
      <w:tr>
        <w:trPr>
          <w:trHeight w:val="238"/>
        </w:trPr>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13"/>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Form</w:t>
            </w:r>
          </w:p>
        </w:tc>
        <w:tc>
          <w:tcPr>
            <w:tcW w:w="20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2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2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r>
      <w:tr>
        <w:trPr>
          <w:trHeight w:val="169"/>
        </w:trPr>
        <w:tc>
          <w:tcPr>
            <w:tcW w:w="11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20" w:type="dxa"/>
            <w:vAlign w:val="bottom"/>
            <w:tcBorders>
              <w:top w:val="single" w:sz="8" w:color="auto"/>
            </w:tcBorders>
            <w:gridSpan w:val="16"/>
          </w:tcPr>
          <w:p>
            <w:pPr>
              <w:spacing w:after="0" w:line="169"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Credit Agreement dated as of January 5, 2022,</w:t>
              </w:r>
            </w:hyperlink>
          </w:p>
        </w:tc>
        <w:tc>
          <w:tcPr>
            <w:tcW w:w="220" w:type="dxa"/>
            <w:vAlign w:val="bottom"/>
          </w:tcPr>
          <w:p>
            <w:pPr>
              <w:spacing w:after="0"/>
              <w:rPr>
                <w:sz w:val="14"/>
                <w:szCs w:val="14"/>
                <w:color w:val="auto"/>
              </w:rPr>
            </w:pPr>
          </w:p>
        </w:tc>
        <w:tc>
          <w:tcPr>
            <w:tcW w:w="68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w w:val="92"/>
              </w:rPr>
              <w:t>8-K</w:t>
            </w:r>
          </w:p>
        </w:tc>
        <w:tc>
          <w:tcPr>
            <w:tcW w:w="200" w:type="dxa"/>
            <w:vAlign w:val="bottom"/>
          </w:tcPr>
          <w:p>
            <w:pPr>
              <w:spacing w:after="0"/>
              <w:rPr>
                <w:sz w:val="14"/>
                <w:szCs w:val="14"/>
                <w:color w:val="auto"/>
              </w:rPr>
            </w:pPr>
          </w:p>
        </w:tc>
        <w:tc>
          <w:tcPr>
            <w:tcW w:w="104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w w:val="97"/>
              </w:rPr>
              <w:t>000-06814</w:t>
            </w:r>
          </w:p>
        </w:tc>
        <w:tc>
          <w:tcPr>
            <w:tcW w:w="200" w:type="dxa"/>
            <w:vAlign w:val="bottom"/>
          </w:tcPr>
          <w:p>
            <w:pPr>
              <w:spacing w:after="0"/>
              <w:rPr>
                <w:sz w:val="14"/>
                <w:szCs w:val="14"/>
                <w:color w:val="auto"/>
              </w:rPr>
            </w:pPr>
          </w:p>
        </w:tc>
        <w:tc>
          <w:tcPr>
            <w:tcW w:w="86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color w:val="auto"/>
                <w:w w:val="95"/>
              </w:rPr>
              <w:t>10.6</w:t>
            </w:r>
          </w:p>
        </w:tc>
        <w:tc>
          <w:tcPr>
            <w:tcW w:w="200" w:type="dxa"/>
            <w:vAlign w:val="bottom"/>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w w:val="97"/>
              </w:rPr>
              <w:t>01/01/2022</w:t>
            </w:r>
          </w:p>
        </w:tc>
        <w:tc>
          <w:tcPr>
            <w:tcW w:w="2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39">
              <w:r>
                <w:rPr>
                  <w:rFonts w:ascii="Times New Roman" w:cs="Times New Roman" w:eastAsia="Times New Roman" w:hAnsi="Times New Roman"/>
                  <w:sz w:val="18"/>
                  <w:szCs w:val="18"/>
                  <w:color w:val="0000EE"/>
                  <w:w w:val="98"/>
                </w:rPr>
                <w:t>among U.S. Energy Corp., as borrower,</w:t>
              </w:r>
            </w:hyperlink>
          </w:p>
        </w:tc>
        <w:tc>
          <w:tcPr>
            <w:tcW w:w="500" w:type="dxa"/>
            <w:vAlign w:val="bottom"/>
            <w:tcBorders>
              <w:top w:val="single" w:sz="8" w:color="0000EE"/>
            </w:tcBorders>
            <w:gridSpan w:val="8"/>
          </w:tcPr>
          <w:p>
            <w:pPr>
              <w:spacing w:after="0"/>
              <w:rPr>
                <w:sz w:val="17"/>
                <w:szCs w:val="17"/>
                <w:color w:val="auto"/>
              </w:rPr>
            </w:pPr>
          </w:p>
        </w:tc>
        <w:tc>
          <w:tcPr>
            <w:tcW w:w="18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Firstbank Southwest, as Administrative Agent</w:t>
              </w:r>
            </w:hyperlink>
          </w:p>
        </w:tc>
        <w:tc>
          <w:tcPr>
            <w:tcW w:w="2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39">
              <w:r>
                <w:rPr>
                  <w:rFonts w:ascii="Times New Roman" w:cs="Times New Roman" w:eastAsia="Times New Roman" w:hAnsi="Times New Roman"/>
                  <w:sz w:val="18"/>
                  <w:szCs w:val="18"/>
                  <w:color w:val="0000EE"/>
                  <w:w w:val="98"/>
                </w:rPr>
                <w:t>and the Lenders party thereto</w:t>
              </w:r>
            </w:hyperlink>
          </w:p>
        </w:tc>
        <w:tc>
          <w:tcPr>
            <w:tcW w:w="142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520" w:type="dxa"/>
            <w:vAlign w:val="bottom"/>
            <w:gridSpan w:val="16"/>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First Amendment to Credit Agreement and</w:t>
              </w:r>
            </w:hyperlink>
          </w:p>
        </w:tc>
        <w:tc>
          <w:tcPr>
            <w:tcW w:w="900" w:type="dxa"/>
            <w:vAlign w:val="bottom"/>
            <w:gridSpan w:val="2"/>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000-06814</w:t>
            </w:r>
          </w:p>
        </w:tc>
        <w:tc>
          <w:tcPr>
            <w:tcW w:w="1060" w:type="dxa"/>
            <w:vAlign w:val="bottom"/>
            <w:gridSpan w:val="2"/>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60" w:type="dxa"/>
            <w:vAlign w:val="bottom"/>
            <w:gridSpan w:val="2"/>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09/19/2025</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gridSpan w:val="16"/>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Limited Waiver dated September 16, 2025,</w:t>
              </w:r>
            </w:hyperlink>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among U.S. Energy Corp., as borrower,</w:t>
              </w:r>
            </w:hyperlink>
          </w:p>
        </w:tc>
        <w:tc>
          <w:tcPr>
            <w:tcW w:w="240" w:type="dxa"/>
            <w:vAlign w:val="bottom"/>
            <w:tcBorders>
              <w:top w:val="single" w:sz="8" w:color="0000EE"/>
            </w:tcBorders>
            <w:gridSpan w:val="2"/>
          </w:tcPr>
          <w:p>
            <w:pPr>
              <w:spacing w:after="0"/>
              <w:rPr>
                <w:sz w:val="17"/>
                <w:szCs w:val="17"/>
                <w:color w:val="auto"/>
              </w:rPr>
            </w:pPr>
          </w:p>
        </w:tc>
        <w:tc>
          <w:tcPr>
            <w:tcW w:w="44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Firstbank Southwest, as Administrative Agent</w:t>
              </w:r>
            </w:hyperlink>
          </w:p>
        </w:tc>
        <w:tc>
          <w:tcPr>
            <w:tcW w:w="2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and the Lenders party thereto</w:t>
              </w:r>
            </w:hyperlink>
          </w:p>
        </w:tc>
        <w:tc>
          <w:tcPr>
            <w:tcW w:w="142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35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Common Stock Purchase Agreement, dated as of</w:t>
              </w:r>
            </w:hyperlink>
          </w:p>
        </w:tc>
        <w:tc>
          <w:tcPr>
            <w:tcW w:w="900" w:type="dxa"/>
            <w:vAlign w:val="bottom"/>
            <w:gridSpan w:val="2"/>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000-06814</w:t>
            </w:r>
          </w:p>
        </w:tc>
        <w:tc>
          <w:tcPr>
            <w:tcW w:w="1060" w:type="dxa"/>
            <w:vAlign w:val="bottom"/>
            <w:gridSpan w:val="2"/>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60" w:type="dxa"/>
            <w:vAlign w:val="bottom"/>
            <w:gridSpan w:val="2"/>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10/09/2025</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gridSpan w:val="16"/>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October 9, 2025, by and between U.S. Energy</w:t>
              </w:r>
            </w:hyperlink>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Corp. and Roth Principal Investments, LLC</w:t>
              </w:r>
            </w:hyperlink>
          </w:p>
        </w:tc>
        <w:tc>
          <w:tcPr>
            <w:tcW w:w="160" w:type="dxa"/>
            <w:vAlign w:val="bottom"/>
            <w:tcBorders>
              <w:top w:val="single" w:sz="8" w:color="0000EE"/>
            </w:tcBorders>
            <w:gridSpan w:val="2"/>
          </w:tcPr>
          <w:p>
            <w:pPr>
              <w:spacing w:after="0"/>
              <w:rPr>
                <w:sz w:val="17"/>
                <w:szCs w:val="17"/>
                <w:color w:val="auto"/>
              </w:rPr>
            </w:pPr>
          </w:p>
        </w:tc>
        <w:tc>
          <w:tcPr>
            <w:tcW w:w="2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3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Registration Rights Agreement, dated as of</w:t>
              </w:r>
            </w:hyperlink>
          </w:p>
        </w:tc>
        <w:tc>
          <w:tcPr>
            <w:tcW w:w="420" w:type="dxa"/>
            <w:vAlign w:val="bottom"/>
            <w:gridSpan w:val="8"/>
          </w:tcPr>
          <w:p>
            <w:pPr>
              <w:spacing w:after="0"/>
              <w:rPr>
                <w:sz w:val="17"/>
                <w:szCs w:val="17"/>
                <w:color w:val="auto"/>
              </w:rPr>
            </w:pPr>
          </w:p>
        </w:tc>
        <w:tc>
          <w:tcPr>
            <w:tcW w:w="900" w:type="dxa"/>
            <w:vAlign w:val="bottom"/>
            <w:gridSpan w:val="2"/>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000-06814</w:t>
            </w:r>
          </w:p>
        </w:tc>
        <w:tc>
          <w:tcPr>
            <w:tcW w:w="1060" w:type="dxa"/>
            <w:vAlign w:val="bottom"/>
            <w:gridSpan w:val="2"/>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60" w:type="dxa"/>
            <w:vAlign w:val="bottom"/>
            <w:gridSpan w:val="2"/>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10/09/2025</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gridSpan w:val="16"/>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October 9, 2025, by and between U.S. Energy</w:t>
              </w:r>
            </w:hyperlink>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Corp. and Roth Principal Investments, LLC</w:t>
              </w:r>
            </w:hyperlink>
          </w:p>
        </w:tc>
        <w:tc>
          <w:tcPr>
            <w:tcW w:w="160" w:type="dxa"/>
            <w:vAlign w:val="bottom"/>
            <w:tcBorders>
              <w:top w:val="single" w:sz="8" w:color="0000EE"/>
            </w:tcBorders>
            <w:gridSpan w:val="2"/>
          </w:tcPr>
          <w:p>
            <w:pPr>
              <w:spacing w:after="0"/>
              <w:rPr>
                <w:sz w:val="17"/>
                <w:szCs w:val="17"/>
                <w:color w:val="auto"/>
              </w:rPr>
            </w:pPr>
          </w:p>
        </w:tc>
        <w:tc>
          <w:tcPr>
            <w:tcW w:w="2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 – Oxley</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260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to Section 302 of the Sarbanes – Oxley Act of</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2002</w:t>
            </w:r>
          </w:p>
        </w:tc>
        <w:tc>
          <w:tcPr>
            <w:tcW w:w="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3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Chief Executive Officer under</w:t>
            </w:r>
          </w:p>
        </w:tc>
        <w:tc>
          <w:tcPr>
            <w:tcW w:w="2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Rule 13a-14(b)</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40" w:type="dxa"/>
            <w:vAlign w:val="bottom"/>
            <w:gridSpan w:val="3"/>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2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under</w:t>
            </w:r>
          </w:p>
        </w:tc>
        <w:tc>
          <w:tcPr>
            <w:tcW w:w="24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Rule 13a-14(b)</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40" w:type="dxa"/>
            <w:vAlign w:val="bottom"/>
            <w:gridSpan w:val="3"/>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44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8"/>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document does not appear in the Interactive Data</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File because its XBRL tags are embedded within</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Inline XBRL for the cover page of this Quarterly</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Report on Form 10-Q, included in the Exhibit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101 Inline XBRL Document Set</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601(b)(5) of Regulation S-K. A copy of any omitted schedule or exhibit will be furnished supplementally to the Securities and Exchange Commission upon request; provided, however, that U.S. Energy Corp. may request confidential treatment pursuant to Rule 24b-2 of the Securities Exchange Act of 1934, as amended, for any schedule or exhibit so furnished.</w:t>
      </w:r>
    </w:p>
    <w:p>
      <w:pPr>
        <w:spacing w:after="0" w:line="176"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U.S. ENERGY CORP.</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8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Ryan L. Smith</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RYAN L. SMITH,</w:t>
            </w:r>
          </w:p>
        </w:tc>
      </w:tr>
      <w:tr>
        <w:trPr>
          <w:trHeight w:val="234"/>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8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L. Zajac</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L. ZAJAC,</w:t>
            </w:r>
          </w:p>
        </w:tc>
      </w:tr>
      <w:tr>
        <w:trPr>
          <w:trHeight w:val="234"/>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r>
        <w:trPr>
          <w:trHeight w:val="432"/>
        </w:trPr>
        <w:tc>
          <w:tcPr>
            <w:tcW w:w="3440" w:type="dxa"/>
            <w:vAlign w:val="bottom"/>
          </w:tcPr>
          <w:p>
            <w:pPr>
              <w:spacing w:after="0"/>
              <w:rPr>
                <w:sz w:val="24"/>
                <w:szCs w:val="24"/>
                <w:color w:val="auto"/>
              </w:rPr>
            </w:pP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L. Smith,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U.S. Energy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offer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Ryan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Ryan L. Smith</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 Zajac,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U.S. Energy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offer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L. Zajac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18415</wp:posOffset>
            </wp:positionV>
            <wp:extent cx="3385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Mark L. Zajac</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U.S. Energy Corp. (the “Company”) for the period ended March 31, 2026 as filed with the Securities and Exchange Commission on the date hereof (the “Report”), I Ryan L. Smith, certify, pursuant to 18 U.S.C. § 1350, as adopted pursuant to § 906 of the Sarbanes-Oxley Act of 2002, to my knowledge, that:</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3" w:lineRule="exact"/>
        <w:rPr>
          <w:sz w:val="20"/>
          <w:szCs w:val="20"/>
          <w:color w:val="auto"/>
        </w:rPr>
      </w:pPr>
    </w:p>
    <w:p>
      <w:pPr>
        <w:ind w:left="5520"/>
        <w:spacing w:after="0"/>
        <w:tabs>
          <w:tab w:leader="none" w:pos="5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Ryan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Ryan L. Smith</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U.S. Energy Corp. (the “Company”) for the period ended March 31, 2026 as filed with the Securities and Exchange Commission on the date hereof (the “Report”), I Mark L. Zajac, certify, pursuant to 18 U.S.C. § 1350, as adopted pursuant to § 906 of the Sarbanes-Oxley Act of 2002, to my knowledge, that:</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L. Zajac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18415</wp:posOffset>
            </wp:positionV>
            <wp:extent cx="34118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Mark L. Zajac</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lowerRoman"/>
      <w:start w:val="2"/>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14"/>
    </w:lvl>
  </w:abstractNum>
  <w:abstractNum w:abstractNumId="10">
    <w:nsid w:val="25E45D32"/>
    <w:multiLevelType w:val="hybridMultilevel"/>
    <w:lvl w:ilvl="0">
      <w:lvlJc w:val="left"/>
      <w:lvlText w:val="%1."/>
      <w:numFmt w:val="decimal"/>
      <w:start w:val="16"/>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lowerLetter"/>
      <w:start w:val="3"/>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39" Type="http://schemas.openxmlformats.org/officeDocument/2006/relationships/hyperlink" Target="http://www.sec.gov/Archives/edgar/data/101594/000149315222000753/ex10-6.htm" TargetMode="External"/><Relationship Id="rId40" Type="http://schemas.openxmlformats.org/officeDocument/2006/relationships/hyperlink" Target="http://www.sec.gov/Archives/edgar/data/101594/000143774925029515/ex_862565.htm" TargetMode="External"/><Relationship Id="rId41" Type="http://schemas.openxmlformats.org/officeDocument/2006/relationships/hyperlink" Target="http://www.sec.gov/Archives/edgar/data/101594/000143774925030792/ex_866588.htm" TargetMode="External"/><Relationship Id="rId42" Type="http://schemas.openxmlformats.org/officeDocument/2006/relationships/hyperlink" Target="http://www.sec.gov/Archives/edgar/data/101594/000143774925030792/ex_86658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2026-05-07T06:13:15Z</dcterms:created>
  <dcterms:modified xsi:type="dcterms:W3CDTF">2026-05-07T06:13:15Z</dcterms:modified>
</cp:coreProperties>
</file>