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seg20250331_10q.htm"/>
      <w:bookmarkStart w:id="1" w:name="ksuseg2025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QUARTERLY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2025</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96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 to 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b/>
          <w:caps w:val="false"/>
          <w:smallCaps w:val="false"/>
          <w:sz w:val="20"/>
        </w:rPr>
        <w:t>000-06814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4470400" cy="142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70400" cy="1422400"/>
                    </a:xfrm>
                    <a:prstGeom prst="rect">
                      <a:avLst/>
                    </a:prstGeom>
                  </pic:spPr>
                </pic:pic>
              </a:graphicData>
            </a:graphic>
          </wp:inline>
        </w:drawing>
      </w: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28" w:type="dxa"/>
          <w:right w:w="0" w:type="dxa"/>
        </w:tblCellMar>
      </w:tblPr>
      <w:tblGrid>
        <w:gridCol w:w="248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83-0205516</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28" w:type="dxa"/>
          <w:right w:w="0" w:type="dxa"/>
        </w:tblCellMar>
      </w:tblPr>
      <w:tblGrid>
        <w:gridCol w:w="3830"/>
        <w:gridCol w:w="60"/>
        <w:gridCol w:w="905"/>
      </w:tblGrid>
      <w:tr>
        <w:trPr/>
        <w:tc>
          <w:tcPr>
            <w:tcW w:w="38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1616 S. Voss Road, Suite 725, Houston, Texas</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77057</w:t>
            </w:r>
          </w:p>
        </w:tc>
      </w:tr>
      <w:tr>
        <w:trPr/>
        <w:tc>
          <w:tcPr>
            <w:tcW w:w="38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(346) 509-8734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2690"/>
        <w:gridCol w:w="60"/>
        <w:gridCol w:w="1505"/>
        <w:gridCol w:w="60"/>
        <w:gridCol w:w="3575"/>
      </w:tblGrid>
      <w:tr>
        <w:trPr/>
        <w:tc>
          <w:tcPr>
            <w:tcW w:w="26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9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$0.01</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USEG</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 Stock Market LLC</w:t>
            </w:r>
            <w:r>
              <w:rPr>
                <w:rFonts w:ascii="Times New Roman" w:hAnsi="Times New Roman"/>
                <w:caps w:val="false"/>
                <w:smallCaps w:val="false"/>
                <w:sz w:val="20"/>
              </w:rPr>
              <w:br/>
            </w: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 had 33,992,732 shares of its common stock, par value $0.01 per share, outstanding as of May 12, 2025.</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u w:val="single"/>
        </w:rPr>
      </w:pPr>
      <w:bookmarkStart w:id="2" w:name="toc"/>
      <w:bookmarkEnd w:id="2"/>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10"/>
        <w:gridCol w:w="7280"/>
        <w:gridCol w:w="440"/>
      </w:tblGrid>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990" w:type="dxa"/>
            <w:gridSpan w:val="2"/>
            <w:tcBorders/>
            <w:vAlign w:val="center"/>
          </w:tcPr>
          <w:p>
            <w:pPr>
              <w:pStyle w:val="TableContents"/>
              <w:bidi w:val="0"/>
              <w:spacing w:before="0" w:after="0"/>
              <w:ind w:left="0" w:right="0" w:hanging="0"/>
              <w:jc w:val="left"/>
              <w:rPr/>
            </w:pPr>
            <w:hyperlink w:anchor="cautionary">
              <w:r>
                <w:rPr>
                  <w:rStyle w:val="InternetLink"/>
                  <w:rFonts w:ascii="Times New Roman" w:hAnsi="Times New Roman"/>
                  <w:caps w:val="false"/>
                  <w:smallCaps w:val="false"/>
                  <w:sz w:val="20"/>
                </w:rPr>
                <w:t>Cautionary Note About Forward-Looking Statements</w:t>
              </w:r>
            </w:hyperlink>
          </w:p>
        </w:tc>
        <w:tc>
          <w:tcPr>
            <w:tcW w:w="440" w:type="dxa"/>
            <w:tcBorders/>
            <w:vAlign w:val="center"/>
          </w:tcPr>
          <w:p>
            <w:pPr>
              <w:pStyle w:val="TableContents"/>
              <w:bidi w:val="0"/>
              <w:spacing w:before="0" w:after="0"/>
              <w:ind w:left="0" w:right="0" w:hanging="0"/>
              <w:jc w:val="center"/>
              <w:rPr/>
            </w:pPr>
            <w:hyperlink w:anchor="cautionary">
              <w:r>
                <w:rPr>
                  <w:rStyle w:val="InternetLink"/>
                  <w:rFonts w:ascii="Times New Roman" w:hAnsi="Times New Roman"/>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0"/>
              <w:ind w:left="0" w:right="0" w:hanging="0"/>
              <w:jc w:val="center"/>
              <w:rPr/>
            </w:pPr>
            <w:hyperlink w:anchor="partonefininfo">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Financial Statements</w:t>
              </w:r>
            </w:hyperlink>
          </w:p>
        </w:tc>
        <w:tc>
          <w:tcPr>
            <w:tcW w:w="440" w:type="dxa"/>
            <w:tcBorders/>
            <w:vAlign w:val="center"/>
          </w:tcPr>
          <w:p>
            <w:pPr>
              <w:pStyle w:val="TableContents"/>
              <w:bidi w:val="0"/>
              <w:spacing w:before="0" w:after="0"/>
              <w:ind w:left="0" w:right="0" w:hanging="0"/>
              <w:jc w:val="center"/>
              <w:rPr/>
            </w:pPr>
            <w:hyperlink w:anchor="finstmts">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 (unaudited)</w:t>
              </w:r>
            </w:hyperlink>
          </w:p>
        </w:tc>
        <w:tc>
          <w:tcPr>
            <w:tcW w:w="440" w:type="dxa"/>
            <w:tcBorders/>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 (unaudited)</w:t>
              </w:r>
            </w:hyperlink>
          </w:p>
        </w:tc>
        <w:tc>
          <w:tcPr>
            <w:tcW w:w="440" w:type="dxa"/>
            <w:tcBorders/>
            <w:vAlign w:val="center"/>
          </w:tcPr>
          <w:p>
            <w:pPr>
              <w:pStyle w:val="TableContents"/>
              <w:bidi w:val="0"/>
              <w:spacing w:before="0" w:after="0"/>
              <w:ind w:left="0" w:right="0" w:hanging="0"/>
              <w:jc w:val="center"/>
              <w:rPr/>
            </w:pPr>
            <w:hyperlink w:anchor="ops">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Changes in Shareholders’ Equity (unaudited)</w:t>
              </w:r>
            </w:hyperlink>
          </w:p>
        </w:tc>
        <w:tc>
          <w:tcPr>
            <w:tcW w:w="440" w:type="dxa"/>
            <w:tcBorders/>
            <w:vAlign w:val="center"/>
          </w:tcPr>
          <w:p>
            <w:pPr>
              <w:pStyle w:val="TableContents"/>
              <w:bidi w:val="0"/>
              <w:spacing w:before="0" w:after="0"/>
              <w:ind w:left="0" w:right="0" w:hanging="0"/>
              <w:jc w:val="center"/>
              <w:rPr/>
            </w:pPr>
            <w:hyperlink w:anchor="se">
              <w:r>
                <w:rPr>
                  <w:rStyle w:val="InternetLink"/>
                  <w:rFonts w:ascii="Times New Roman" w:hAnsi="Times New Roman"/>
                  <w:caps w:val="false"/>
                  <w:smallCaps w:val="false"/>
                  <w:sz w:val="20"/>
                </w:rPr>
                <w:t>6</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(unaudited)</w:t>
              </w:r>
            </w:hyperlink>
          </w:p>
        </w:tc>
        <w:tc>
          <w:tcPr>
            <w:tcW w:w="440" w:type="dxa"/>
            <w:tcBorders/>
            <w:vAlign w:val="center"/>
          </w:tcPr>
          <w:p>
            <w:pPr>
              <w:pStyle w:val="TableContents"/>
              <w:bidi w:val="0"/>
              <w:spacing w:before="0" w:after="0"/>
              <w:ind w:left="0" w:right="0" w:hanging="0"/>
              <w:jc w:val="center"/>
              <w:rPr/>
            </w:pPr>
            <w:hyperlink w:anchor="cf">
              <w:r>
                <w:rPr>
                  <w:rStyle w:val="InternetLink"/>
                  <w:rFonts w:ascii="Times New Roman" w:hAnsi="Times New Roman"/>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8</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center"/>
              <w:rPr/>
            </w:pPr>
            <w:hyperlink w:anchor="mda">
              <w:r>
                <w:rPr>
                  <w:rStyle w:val="InternetLink"/>
                  <w:rFonts w:ascii="Times New Roman" w:hAnsi="Times New Roman"/>
                  <w:caps w:val="false"/>
                  <w:smallCaps w:val="false"/>
                  <w:sz w:val="20"/>
                </w:rPr>
                <w:t>19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quant">
              <w:r>
                <w:rPr>
                  <w:rStyle w:val="InternetLink"/>
                  <w:rFonts w:ascii="Times New Roman" w:hAnsi="Times New Roman"/>
                  <w:caps w:val="false"/>
                  <w:smallCaps w:val="false"/>
                  <w:sz w:val="20"/>
                </w:rPr>
                <w:t>25</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center"/>
              <w:rPr/>
            </w:pPr>
            <w:hyperlink w:anchor="controls">
              <w:r>
                <w:rPr>
                  <w:rStyle w:val="InternetLink"/>
                  <w:rFonts w:ascii="Times New Roman" w:hAnsi="Times New Roman"/>
                  <w:caps w:val="false"/>
                  <w:smallCaps w:val="false"/>
                  <w:sz w:val="20"/>
                </w:rPr>
                <w:t>26</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parttwootherinfo">
              <w:r>
                <w:rPr>
                  <w:rStyle w:val="InternetLink"/>
                  <w:rFonts w:ascii="Times New Roman" w:hAnsi="Times New Roman"/>
                  <w:caps w:val="false"/>
                  <w:smallCaps w:val="false"/>
                  <w:sz w:val="20"/>
                </w:rPr>
                <w:t>26</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26</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center"/>
              <w:rPr/>
            </w:pPr>
            <w:hyperlink w:anchor="risk">
              <w:r>
                <w:rPr>
                  <w:rStyle w:val="InternetLink"/>
                  <w:rFonts w:ascii="Times New Roman" w:hAnsi="Times New Roman"/>
                  <w:caps w:val="false"/>
                  <w:smallCaps w:val="false"/>
                  <w:sz w:val="20"/>
                </w:rPr>
                <w:t>26</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unregistered">
              <w:r>
                <w:rPr>
                  <w:rStyle w:val="InternetLink"/>
                  <w:rFonts w:ascii="Times New Roman" w:hAnsi="Times New Roman"/>
                  <w:caps w:val="false"/>
                  <w:smallCaps w:val="false"/>
                  <w:sz w:val="20"/>
                </w:rPr>
                <w:t>26</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center"/>
              <w:rPr/>
            </w:pPr>
            <w:hyperlink w:anchor="defaults">
              <w:r>
                <w:rPr>
                  <w:rStyle w:val="InternetLink"/>
                  <w:rFonts w:ascii="Times New Roman" w:hAnsi="Times New Roman"/>
                  <w:caps w:val="false"/>
                  <w:smallCaps w:val="false"/>
                  <w:sz w:val="20"/>
                </w:rPr>
                <w:t>27</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center"/>
              <w:rPr/>
            </w:pPr>
            <w:hyperlink w:anchor="mine">
              <w:r>
                <w:rPr>
                  <w:rStyle w:val="InternetLink"/>
                  <w:rFonts w:ascii="Times New Roman" w:hAnsi="Times New Roman"/>
                  <w:caps w:val="false"/>
                  <w:smallCaps w:val="false"/>
                  <w:sz w:val="20"/>
                </w:rPr>
                <w:t>27</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otherinfo">
              <w:r>
                <w:rPr>
                  <w:rStyle w:val="InternetLink"/>
                  <w:rFonts w:ascii="Times New Roman" w:hAnsi="Times New Roman"/>
                  <w:caps w:val="false"/>
                  <w:smallCaps w:val="false"/>
                  <w:sz w:val="20"/>
                </w:rPr>
                <w:t>27</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center"/>
              <w:rPr/>
            </w:pPr>
            <w:hyperlink w:anchor="exhibits">
              <w:r>
                <w:rPr>
                  <w:rStyle w:val="InternetLink"/>
                  <w:rFonts w:ascii="Times New Roman" w:hAnsi="Times New Roman"/>
                  <w:caps w:val="false"/>
                  <w:smallCaps w:val="false"/>
                  <w:sz w:val="20"/>
                </w:rPr>
                <w:t>28</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990"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rPr>
                <w:t>29</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cautionary"/>
      <w:bookmarkEnd w:id="3"/>
      <w:r>
        <w:rPr>
          <w:rFonts w:ascii="Times New Roman" w:hAnsi="Times New Roman"/>
          <w:b/>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(this “Report” or “Form 10-Q”), including “Management’s Discussion and Analysis of Financial Condition and Results of Operations,” contains “forward-looking statements” within the meaning of the federal securities laws, including Section 27A of the Securities Act of 1933, as amended, Section 21E of the Securities Exchange Act of 1934, as amended (the “Exchange Act”) and the Private Securities Litigation Reform Act of 1995. All statements other than statements of historical facts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Examples of forward-looking statements in this Report include:</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170"/>
        <w:gridCol w:w="899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planned capital expenditures for industrial gas, oil and natural gas exploration and environmental compliance;</w:t>
            </w:r>
          </w:p>
        </w:tc>
      </w:tr>
    </w:tbl>
    <w:p>
      <w:pPr>
        <w:pStyle w:val="TextBody"/>
        <w:bidi w:val="0"/>
        <w:spacing w:before="0" w:after="0"/>
        <w:ind w:left="0" w:right="0" w:hanging="0"/>
        <w:jc w:val="both"/>
        <w:rPr/>
      </w:pPr>
      <w:r>
        <w:rPr/>
        <w:t> </w:t>
      </w:r>
    </w:p>
    <w:tbl>
      <w:tblPr>
        <w:tblW w:w="7840" w:type="dxa"/>
        <w:jc w:val="left"/>
        <w:tblInd w:w="0" w:type="dxa"/>
        <w:tblLayout w:type="fixed"/>
        <w:tblCellMar>
          <w:top w:w="0" w:type="dxa"/>
          <w:left w:w="0" w:type="dxa"/>
          <w:bottom w:w="0" w:type="dxa"/>
          <w:right w:w="0" w:type="dxa"/>
        </w:tblCellMar>
      </w:tblPr>
      <w:tblGrid>
        <w:gridCol w:w="170"/>
        <w:gridCol w:w="76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drilling locations and available spacing units, and possible changes in spacing rules;</w:t>
            </w:r>
          </w:p>
        </w:tc>
      </w:tr>
    </w:tbl>
    <w:p>
      <w:pPr>
        <w:pStyle w:val="TextBody"/>
        <w:bidi w:val="0"/>
        <w:spacing w:before="0" w:after="0"/>
        <w:ind w:left="0" w:right="0" w:hanging="0"/>
        <w:jc w:val="both"/>
        <w:rPr/>
      </w:pPr>
      <w:r>
        <w:rPr/>
        <w:t> </w:t>
      </w:r>
    </w:p>
    <w:tbl>
      <w:tblPr>
        <w:tblW w:w="7165" w:type="dxa"/>
        <w:jc w:val="left"/>
        <w:tblInd w:w="0" w:type="dxa"/>
        <w:tblLayout w:type="fixed"/>
        <w:tblCellMar>
          <w:top w:w="0" w:type="dxa"/>
          <w:left w:w="0" w:type="dxa"/>
          <w:bottom w:w="0" w:type="dxa"/>
          <w:right w:w="0" w:type="dxa"/>
        </w:tblCellMar>
      </w:tblPr>
      <w:tblGrid>
        <w:gridCol w:w="170"/>
        <w:gridCol w:w="699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expected to be available for capital expenditures and to satisfy other obligations;</w:t>
            </w:r>
          </w:p>
        </w:tc>
      </w:tr>
    </w:tbl>
    <w:p>
      <w:pPr>
        <w:pStyle w:val="TextBody"/>
        <w:bidi w:val="0"/>
        <w:spacing w:before="0" w:after="0"/>
        <w:ind w:left="0" w:right="0" w:hanging="0"/>
        <w:jc w:val="both"/>
        <w:rPr/>
      </w:pPr>
      <w:r>
        <w:rPr/>
        <w:t> </w:t>
      </w:r>
    </w:p>
    <w:tbl>
      <w:tblPr>
        <w:tblW w:w="8590" w:type="dxa"/>
        <w:jc w:val="left"/>
        <w:tblInd w:w="0" w:type="dxa"/>
        <w:tblLayout w:type="fixed"/>
        <w:tblCellMar>
          <w:top w:w="0" w:type="dxa"/>
          <w:left w:w="0" w:type="dxa"/>
          <w:bottom w:w="0" w:type="dxa"/>
          <w:right w:w="0" w:type="dxa"/>
        </w:tblCellMar>
      </w:tblPr>
      <w:tblGrid>
        <w:gridCol w:w="170"/>
        <w:gridCol w:w="842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recovered volumes and values of industrial gas, oil and natural gas approximating third-party estimates;</w:t>
            </w:r>
          </w:p>
        </w:tc>
      </w:tr>
    </w:tbl>
    <w:p>
      <w:pPr>
        <w:pStyle w:val="TextBody"/>
        <w:bidi w:val="0"/>
        <w:spacing w:before="0" w:after="0"/>
        <w:ind w:left="0" w:right="0" w:hanging="0"/>
        <w:jc w:val="both"/>
        <w:rPr/>
      </w:pPr>
      <w:r>
        <w:rPr/>
        <w:t> </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anticipated changes in oil and natural gas and future industrial gas production;</w:t>
            </w:r>
          </w:p>
        </w:tc>
      </w:tr>
    </w:tbl>
    <w:p>
      <w:pPr>
        <w:pStyle w:val="TextBody"/>
        <w:bidi w:val="0"/>
        <w:spacing w:before="0" w:after="0"/>
        <w:ind w:left="0" w:right="0" w:hanging="0"/>
        <w:jc w:val="both"/>
        <w:rPr/>
      </w:pPr>
      <w:r>
        <w:rPr/>
        <w:t> </w:t>
      </w:r>
    </w:p>
    <w:tbl>
      <w:tblPr>
        <w:tblW w:w="4465" w:type="dxa"/>
        <w:jc w:val="left"/>
        <w:tblInd w:w="0" w:type="dxa"/>
        <w:tblLayout w:type="fixed"/>
        <w:tblCellMar>
          <w:top w:w="0" w:type="dxa"/>
          <w:left w:w="0" w:type="dxa"/>
          <w:bottom w:w="0" w:type="dxa"/>
          <w:right w:w="0" w:type="dxa"/>
        </w:tblCellMar>
      </w:tblPr>
      <w:tblGrid>
        <w:gridCol w:w="170"/>
        <w:gridCol w:w="429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drilling and completion activities and opportunities;</w:t>
            </w:r>
          </w:p>
        </w:tc>
      </w:tr>
    </w:tbl>
    <w:p>
      <w:pPr>
        <w:pStyle w:val="TextBody"/>
        <w:bidi w:val="0"/>
        <w:spacing w:before="0" w:after="0"/>
        <w:ind w:left="0" w:right="0" w:hanging="0"/>
        <w:jc w:val="both"/>
        <w:rPr/>
      </w:pPr>
      <w:r>
        <w:rPr/>
        <w:t> </w:t>
      </w:r>
    </w:p>
    <w:tbl>
      <w:tblPr>
        <w:tblW w:w="7900" w:type="dxa"/>
        <w:jc w:val="left"/>
        <w:tblInd w:w="0" w:type="dxa"/>
        <w:tblLayout w:type="fixed"/>
        <w:tblCellMar>
          <w:top w:w="0" w:type="dxa"/>
          <w:left w:w="0" w:type="dxa"/>
          <w:bottom w:w="0" w:type="dxa"/>
          <w:right w:w="0" w:type="dxa"/>
        </w:tblCellMar>
      </w:tblPr>
      <w:tblGrid>
        <w:gridCol w:w="170"/>
        <w:gridCol w:w="773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timing of drilling additional wells and performing other exploration and development projects;</w:t>
            </w:r>
          </w:p>
        </w:tc>
      </w:tr>
    </w:tbl>
    <w:p>
      <w:pPr>
        <w:pStyle w:val="TextBody"/>
        <w:bidi w:val="0"/>
        <w:spacing w:before="0" w:after="0"/>
        <w:ind w:left="0" w:right="0" w:hanging="0"/>
        <w:jc w:val="both"/>
        <w:rPr/>
      </w:pPr>
      <w:r>
        <w:rPr/>
        <w:t> </w:t>
      </w:r>
    </w:p>
    <w:tbl>
      <w:tblPr>
        <w:tblW w:w="6805" w:type="dxa"/>
        <w:jc w:val="left"/>
        <w:tblInd w:w="0" w:type="dxa"/>
        <w:tblLayout w:type="fixed"/>
        <w:tblCellMar>
          <w:top w:w="0" w:type="dxa"/>
          <w:left w:w="0" w:type="dxa"/>
          <w:bottom w:w="0" w:type="dxa"/>
          <w:right w:w="0" w:type="dxa"/>
        </w:tblCellMar>
      </w:tblPr>
      <w:tblGrid>
        <w:gridCol w:w="170"/>
        <w:gridCol w:w="66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spacing and the number of wells to be drilled with our industry partners;</w:t>
            </w:r>
          </w:p>
        </w:tc>
      </w:tr>
    </w:tbl>
    <w:p>
      <w:pPr>
        <w:pStyle w:val="TextBody"/>
        <w:bidi w:val="0"/>
        <w:spacing w:before="0" w:after="0"/>
        <w:ind w:left="0" w:right="0" w:hanging="0"/>
        <w:jc w:val="both"/>
        <w:rPr/>
      </w:pPr>
      <w:r>
        <w:rPr/>
        <w:t> </w:t>
      </w:r>
    </w:p>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when payout-based milestones or similar thresholds will be reached for the purposes of our agreements with our partners;</w:t>
            </w:r>
          </w:p>
        </w:tc>
      </w:tr>
    </w:tbl>
    <w:p>
      <w:pPr>
        <w:pStyle w:val="TextBody"/>
        <w:bidi w:val="0"/>
        <w:spacing w:before="0" w:after="0"/>
        <w:ind w:left="0" w:right="0" w:hanging="0"/>
        <w:jc w:val="both"/>
        <w:rPr/>
      </w:pPr>
      <w:r>
        <w:rPr/>
        <w:t> </w:t>
      </w:r>
    </w:p>
    <w:tbl>
      <w:tblPr>
        <w:tblW w:w="9370" w:type="dxa"/>
        <w:jc w:val="left"/>
        <w:tblInd w:w="0" w:type="dxa"/>
        <w:tblLayout w:type="fixed"/>
        <w:tblCellMar>
          <w:top w:w="0" w:type="dxa"/>
          <w:left w:w="0" w:type="dxa"/>
          <w:bottom w:w="0" w:type="dxa"/>
          <w:right w:w="0" w:type="dxa"/>
        </w:tblCellMar>
      </w:tblPr>
      <w:tblGrid>
        <w:gridCol w:w="170"/>
        <w:gridCol w:w="92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working and net revenue interests, and costs of wells, relating to the drilling programs with our partners;</w:t>
            </w:r>
          </w:p>
        </w:tc>
      </w:tr>
    </w:tbl>
    <w:p>
      <w:pPr>
        <w:pStyle w:val="TextBody"/>
        <w:bidi w:val="0"/>
        <w:spacing w:before="0" w:after="0"/>
        <w:ind w:left="0" w:right="0" w:hanging="0"/>
        <w:jc w:val="both"/>
        <w:rPr/>
      </w:pPr>
      <w:r>
        <w:rPr/>
        <w:t> </w:t>
      </w:r>
    </w:p>
    <w:tbl>
      <w:tblPr>
        <w:tblW w:w="3430" w:type="dxa"/>
        <w:jc w:val="left"/>
        <w:tblInd w:w="0" w:type="dxa"/>
        <w:tblLayout w:type="fixed"/>
        <w:tblCellMar>
          <w:top w:w="0" w:type="dxa"/>
          <w:left w:w="0" w:type="dxa"/>
          <w:bottom w:w="0" w:type="dxa"/>
          <w:right w:w="0" w:type="dxa"/>
        </w:tblCellMar>
      </w:tblPr>
      <w:tblGrid>
        <w:gridCol w:w="170"/>
        <w:gridCol w:w="326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decline rates for producing wells;</w:t>
            </w:r>
          </w:p>
        </w:tc>
      </w:tr>
    </w:tbl>
    <w:p>
      <w:pPr>
        <w:pStyle w:val="TextBody"/>
        <w:bidi w:val="0"/>
        <w:spacing w:before="0" w:after="0"/>
        <w:ind w:left="0" w:right="0" w:hanging="0"/>
        <w:jc w:val="both"/>
        <w:rPr/>
      </w:pPr>
      <w:r>
        <w:rPr/>
        <w:t> </w:t>
      </w:r>
    </w:p>
    <w:tbl>
      <w:tblPr>
        <w:tblW w:w="3745" w:type="dxa"/>
        <w:jc w:val="left"/>
        <w:tblInd w:w="0" w:type="dxa"/>
        <w:tblLayout w:type="fixed"/>
        <w:tblCellMar>
          <w:top w:w="0" w:type="dxa"/>
          <w:left w:w="0" w:type="dxa"/>
          <w:bottom w:w="0" w:type="dxa"/>
          <w:right w:w="0" w:type="dxa"/>
        </w:tblCellMar>
      </w:tblPr>
      <w:tblGrid>
        <w:gridCol w:w="170"/>
        <w:gridCol w:w="357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cash flows, expenses and borrowings;</w:t>
            </w:r>
          </w:p>
        </w:tc>
      </w:tr>
    </w:tbl>
    <w:p>
      <w:pPr>
        <w:pStyle w:val="TextBody"/>
        <w:bidi w:val="0"/>
        <w:spacing w:before="0" w:after="0"/>
        <w:ind w:left="0" w:right="0" w:hanging="0"/>
        <w:jc w:val="both"/>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pursuit of potential acquisition opportunities;</w:t>
            </w:r>
          </w:p>
        </w:tc>
      </w:tr>
    </w:tbl>
    <w:p>
      <w:pPr>
        <w:pStyle w:val="TextBody"/>
        <w:bidi w:val="0"/>
        <w:spacing w:before="0" w:after="0"/>
        <w:ind w:left="0" w:right="0" w:hanging="0"/>
        <w:jc w:val="both"/>
        <w:rPr/>
      </w:pPr>
      <w:r>
        <w:rPr/>
        <w:t> </w:t>
      </w:r>
    </w:p>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downturns, wars and increased inflation and interest rates, and possible recessions caused thereby;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global pandemics on our operations, properties, the market for industrial gas, oil and natural gas, and the demand for industrial gas, oil and natural gas;</w:t>
            </w:r>
          </w:p>
        </w:tc>
      </w:tr>
    </w:tbl>
    <w:p>
      <w:pPr>
        <w:pStyle w:val="TextBody"/>
        <w:bidi w:val="0"/>
        <w:spacing w:before="0" w:after="0"/>
        <w:ind w:left="0" w:right="0" w:hanging="0"/>
        <w:jc w:val="both"/>
        <w:rPr/>
      </w:pPr>
      <w:r>
        <w:rPr/>
        <w:t> </w:t>
      </w:r>
    </w:p>
    <w:tbl>
      <w:tblPr>
        <w:tblW w:w="2785" w:type="dxa"/>
        <w:jc w:val="left"/>
        <w:tblInd w:w="0" w:type="dxa"/>
        <w:tblLayout w:type="fixed"/>
        <w:tblCellMar>
          <w:top w:w="0" w:type="dxa"/>
          <w:left w:w="0" w:type="dxa"/>
          <w:bottom w:w="0" w:type="dxa"/>
          <w:right w:w="0" w:type="dxa"/>
        </w:tblCellMar>
      </w:tblPr>
      <w:tblGrid>
        <w:gridCol w:w="170"/>
        <w:gridCol w:w="261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financial position;</w:t>
            </w:r>
          </w:p>
        </w:tc>
      </w:tr>
    </w:tbl>
    <w:p>
      <w:pPr>
        <w:pStyle w:val="TextBody"/>
        <w:bidi w:val="0"/>
        <w:spacing w:before="0" w:after="0"/>
        <w:ind w:left="0" w:right="0" w:hanging="0"/>
        <w:jc w:val="both"/>
        <w:rPr/>
      </w:pPr>
      <w:r>
        <w:rPr/>
        <w:t> </w:t>
      </w:r>
    </w:p>
    <w:tbl>
      <w:tblPr>
        <w:tblW w:w="3520" w:type="dxa"/>
        <w:jc w:val="left"/>
        <w:tblInd w:w="0" w:type="dxa"/>
        <w:tblLayout w:type="fixed"/>
        <w:tblCellMar>
          <w:top w:w="0" w:type="dxa"/>
          <w:left w:w="0" w:type="dxa"/>
          <w:bottom w:w="0" w:type="dxa"/>
          <w:right w:w="0" w:type="dxa"/>
        </w:tblCellMar>
      </w:tblPr>
      <w:tblGrid>
        <w:gridCol w:w="170"/>
        <w:gridCol w:w="335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future overhead reductions;</w:t>
            </w:r>
          </w:p>
        </w:tc>
      </w:tr>
    </w:tbl>
    <w:p>
      <w:pPr>
        <w:pStyle w:val="TextBody"/>
        <w:bidi w:val="0"/>
        <w:spacing w:before="0" w:after="0"/>
        <w:ind w:left="0" w:right="0" w:hanging="0"/>
        <w:jc w:val="both"/>
        <w:rPr/>
      </w:pPr>
      <w:r>
        <w:rPr/>
        <w: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become an operator of industrial gas, oil and natural gas properties;</w:t>
            </w:r>
          </w:p>
        </w:tc>
      </w:tr>
    </w:tbl>
    <w:p>
      <w:pPr>
        <w:pStyle w:val="TextBody"/>
        <w:bidi w:val="0"/>
        <w:spacing w:before="0" w:after="0"/>
        <w:ind w:left="0" w:right="0" w:hanging="0"/>
        <w:jc w:val="both"/>
        <w:rPr/>
      </w:pPr>
      <w:r>
        <w:rPr/>
        <w:t> </w:t>
      </w:r>
    </w:p>
    <w:tbl>
      <w:tblPr>
        <w:tblW w:w="9175" w:type="dxa"/>
        <w:jc w:val="left"/>
        <w:tblInd w:w="0" w:type="dxa"/>
        <w:tblLayout w:type="fixed"/>
        <w:tblCellMar>
          <w:top w:w="0" w:type="dxa"/>
          <w:left w:w="0" w:type="dxa"/>
          <w:bottom w:w="0" w:type="dxa"/>
          <w:right w:w="0" w:type="dxa"/>
        </w:tblCellMar>
      </w:tblPr>
      <w:tblGrid>
        <w:gridCol w:w="170"/>
        <w:gridCol w:w="900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raise additional financing and acquire attractive industrial gas, oil and natural gas properties; and</w:t>
            </w:r>
          </w:p>
        </w:tc>
      </w:tr>
    </w:tbl>
    <w:p>
      <w:pPr>
        <w:pStyle w:val="TextBody"/>
        <w:bidi w:val="0"/>
        <w:spacing w:before="0" w:after="0"/>
        <w:ind w:left="0" w:right="0" w:hanging="0"/>
        <w:jc w:val="both"/>
        <w:rPr/>
      </w:pPr>
      <w:r>
        <w:rPr/>
        <w:t> </w:t>
      </w:r>
    </w:p>
    <w:tbl>
      <w:tblPr>
        <w:tblW w:w="8530" w:type="dxa"/>
        <w:jc w:val="left"/>
        <w:tblInd w:w="0" w:type="dxa"/>
        <w:tblLayout w:type="fixed"/>
        <w:tblCellMar>
          <w:top w:w="0" w:type="dxa"/>
          <w:left w:w="0" w:type="dxa"/>
          <w:bottom w:w="0" w:type="dxa"/>
          <w:right w:w="0" w:type="dxa"/>
        </w:tblCellMar>
      </w:tblPr>
      <w:tblGrid>
        <w:gridCol w:w="170"/>
        <w:gridCol w:w="836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plans and objectives for future operations, including industrial gas exploration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identified by their use of terms and phrases such as “may,” “expect,” “estimate,” “project,” “plan,” “believe,” “intend,” “achievable,” “anticipate,” “will,” “continue,” “potential,” “should,” “could,” “up to,” and similar terms and phrases. Though we believe that the expectations reflected in these statements are reasonable, they involve certain assumptions, risks and uncertainties. Factors that could cause or contribute to such differences include, but are not limited to, those discussed in this Quarterly Report on Form 10-Q, and in particular, under and incorporated by reference in, “Risk Factors”, below, the risks discussed in Part I, Item 1A, “Risk Factors” in our Annual Report on Form 10-K for the fiscal year ended December 31, 2024, and those discussed in other documents we file with the Securities and Exchange Commission (the “SEC” or the “Commission”). Given these risks and uncertainties, readers are cautioned not to place undue reliance on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forward-looking statements speak only at the date of the filing of this Report. We do not undertake any obligation to update or revise publicly any forward-looking statements except as required by law, including the securities laws of the United States and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bookmarkStart w:id="4" w:name="partonefininfo"/>
      <w:bookmarkEnd w:id="4"/>
      <w:r>
        <w:rPr>
          <w:rFonts w:ascii="Times New Roman" w:hAnsi="Times New Roman"/>
          <w:b/>
          <w:caps w:val="false"/>
          <w:smallCaps w:val="false"/>
          <w:sz w:val="20"/>
          <w:u w:val="single"/>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5" w:name="finstmts"/>
      <w:bookmarkEnd w:id="5"/>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bs"/>
      <w:bookmarkEnd w:id="6"/>
      <w:r>
        <w:rPr>
          <w:rFonts w:ascii="Times New Roman" w:hAnsi="Times New Roman"/>
          <w:b/>
          <w:caps w:val="false"/>
          <w:smallCaps w:val="false"/>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pPr>
      <w:r>
        <w:rPr/>
        <w:t> </w:t>
      </w:r>
    </w:p>
    <w:tbl>
      <w:tblPr>
        <w:tblW w:w="10205" w:type="dxa"/>
        <w:jc w:val="left"/>
        <w:tblInd w:w="0" w:type="dxa"/>
        <w:tblLayout w:type="fixed"/>
        <w:tblCellMar>
          <w:top w:w="0" w:type="dxa"/>
          <w:left w:w="0" w:type="dxa"/>
          <w:bottom w:w="0" w:type="dxa"/>
          <w:right w:w="0" w:type="dxa"/>
        </w:tblCellMar>
      </w:tblPr>
      <w:tblGrid>
        <w:gridCol w:w="7618"/>
        <w:gridCol w:w="60"/>
        <w:gridCol w:w="154"/>
        <w:gridCol w:w="936"/>
        <w:gridCol w:w="80"/>
        <w:gridCol w:w="60"/>
        <w:gridCol w:w="172"/>
        <w:gridCol w:w="1042"/>
        <w:gridCol w:w="83"/>
      </w:tblGrid>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7,723</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sales receivables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Marketable equity securities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9,724</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Oil and natural gas under full cost method and industrial gas properties: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Proved oil and natural gas properties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140,719</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142,029</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(112,958</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Oil and natural gas properties,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29,071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6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Unevaluated industrial gas properties, not subject to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15,388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9,384</w:t>
            </w:r>
          </w:p>
        </w:tc>
        <w:tc>
          <w:tcPr>
            <w:tcW w:w="83" w:type="dxa"/>
            <w:tcBorders/>
            <w:shd w:fill="CCEEFF" w:val="clear"/>
            <w:vAlign w:val="center"/>
          </w:tcPr>
          <w:p>
            <w:pPr>
              <w:pStyle w:val="TableContents"/>
              <w:bidi w:val="0"/>
              <w:spacing w:before="0" w:after="0"/>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0" w:firstLine="180"/>
              <w:jc w:val="left"/>
              <w:rPr>
                <w:rFonts w:ascii="Times New Roman" w:hAnsi="Times New Roman"/>
                <w:b/>
                <w:caps w:val="false"/>
                <w:smallCaps w:val="false"/>
                <w:sz w:val="20"/>
              </w:rPr>
            </w:pPr>
            <w:r>
              <w:rPr>
                <w:rFonts w:ascii="Times New Roman" w:hAnsi="Times New Roman"/>
                <w:b/>
                <w:caps w:val="false"/>
                <w:smallCaps w:val="false"/>
                <w:sz w:val="20"/>
              </w:rPr>
              <w:t>Oil, natural gas and industrial gas properties,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38,455</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Other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1,488</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49,667</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5,466</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Revenue and royalties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4,712</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4,836</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obligation</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12,348</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Credit facility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13,083</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Long-term lease obligation,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13,498</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25,846</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245,000,000 shares authorized; 34,061,831 and 27,903,197 shares issued and outstanding at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221,460</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(197,918</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23,821</w:t>
            </w:r>
          </w:p>
        </w:tc>
        <w:tc>
          <w:tcPr>
            <w:tcW w:w="83" w:type="dxa"/>
            <w:tcBorders/>
            <w:shd w:fill="FFFFFF" w:val="clear"/>
            <w:vAlign w:val="center"/>
          </w:tcPr>
          <w:p>
            <w:pPr>
              <w:pStyle w:val="TableContents"/>
              <w:bidi w:val="0"/>
              <w:spacing w:before="0" w:after="283"/>
              <w:jc w:val="left"/>
              <w:rPr/>
            </w:pPr>
            <w:r>
              <w:rPr/>
              <w:t> </w:t>
            </w:r>
          </w:p>
        </w:tc>
      </w:tr>
      <w:tr>
        <w:trPr/>
        <w:tc>
          <w:tcPr>
            <w:tcW w:w="76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1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49,667</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ops"/>
      <w:bookmarkEnd w:id="7"/>
      <w:r>
        <w:rPr>
          <w:rFonts w:ascii="Times New Roman" w:hAnsi="Times New Roman"/>
          <w:b/>
          <w:caps w:val="false"/>
          <w:smallCaps w:val="false"/>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w:t>
      </w:r>
      <w:r>
        <w:rPr>
          <w:rFonts w:ascii="Times New Roman" w:hAnsi="Times New Roman"/>
          <w:b/>
          <w:caps/>
          <w:sz w:val="20"/>
        </w:rPr>
        <w:t xml:space="preserve"> three months ended March 31,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7272" w:type="dxa"/>
        <w:jc w:val="left"/>
        <w:tblInd w:w="0" w:type="dxa"/>
        <w:tblLayout w:type="fixed"/>
        <w:tblCellMar>
          <w:top w:w="0" w:type="dxa"/>
          <w:left w:w="0" w:type="dxa"/>
          <w:bottom w:w="0" w:type="dxa"/>
          <w:right w:w="0" w:type="dxa"/>
        </w:tblCellMar>
      </w:tblPr>
      <w:tblGrid>
        <w:gridCol w:w="4475"/>
        <w:gridCol w:w="60"/>
        <w:gridCol w:w="145"/>
        <w:gridCol w:w="1103"/>
        <w:gridCol w:w="92"/>
        <w:gridCol w:w="69"/>
        <w:gridCol w:w="145"/>
        <w:gridCol w:w="1103"/>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5,391</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transportation and treating</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oil and natural gas properties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5,281</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13,413</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loss,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(3,111</w:t>
            </w:r>
          </w:p>
        </w:tc>
        <w:tc>
          <w:tcPr>
            <w:tcW w:w="9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(9,537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32,724,922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25,388,221</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se"/>
      <w:bookmarkEnd w:id="8"/>
      <w:r>
        <w:rPr>
          <w:rFonts w:ascii="Times New Roman;Times;serif" w:hAnsi="Times New Roman;Times;serif"/>
          <w:b/>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CHANGES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w:t>
      </w:r>
      <w:r>
        <w:rPr>
          <w:rFonts w:ascii="Times New Roman" w:hAnsi="Times New Roman"/>
          <w:b/>
          <w:caps/>
          <w:sz w:val="20"/>
        </w:rPr>
        <w:t xml:space="preserve"> three months ended March 31,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35"/>
        <w:gridCol w:w="60"/>
        <w:gridCol w:w="60"/>
        <w:gridCol w:w="950"/>
        <w:gridCol w:w="80"/>
        <w:gridCol w:w="60"/>
        <w:gridCol w:w="188"/>
        <w:gridCol w:w="507"/>
        <w:gridCol w:w="80"/>
        <w:gridCol w:w="60"/>
        <w:gridCol w:w="140"/>
        <w:gridCol w:w="780"/>
        <w:gridCol w:w="80"/>
        <w:gridCol w:w="60"/>
        <w:gridCol w:w="160"/>
        <w:gridCol w:w="970"/>
        <w:gridCol w:w="80"/>
        <w:gridCol w:w="60"/>
        <w:gridCol w:w="125"/>
        <w:gridCol w:w="590"/>
        <w:gridCol w:w="80"/>
      </w:tblGrid>
      <w:tr>
        <w:trPr/>
        <w:tc>
          <w:tcPr>
            <w:tcW w:w="5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25,333,870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46,522</w:t>
            </w:r>
          </w:p>
        </w:tc>
        <w:tc>
          <w:tcPr>
            <w:tcW w:w="80" w:type="dxa"/>
            <w:tcBorders/>
            <w:shd w:fill="CCEE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upon vesting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withheld to settle tax withholding obligations for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(318,200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25,343,013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(181,671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36,743</w:t>
            </w:r>
          </w:p>
        </w:tc>
        <w:tc>
          <w:tcPr>
            <w:tcW w:w="80" w:type="dxa"/>
            <w:tcBorders/>
            <w:shd w:fill="CCEE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27,903,197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23,821</w:t>
            </w:r>
          </w:p>
        </w:tc>
        <w:tc>
          <w:tcPr>
            <w:tcW w:w="80" w:type="dxa"/>
            <w:tcBorders/>
            <w:shd w:fill="CCEE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for acquisition of industrial gas properties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0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upon vesting of restricted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851,515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5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jc w:val="left"/>
              <w:rPr/>
            </w:pPr>
            <w:r>
              <w:rPr/>
              <w:t> </w:t>
            </w:r>
          </w:p>
        </w:tc>
      </w:tr>
      <w:tr>
        <w:trPr/>
        <w:tc>
          <w:tcPr>
            <w:tcW w:w="503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withheld to settle tax withholding obligations for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(203,281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sold in underwritten offering, net of offering costs $1,032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4,871,400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11,877</w:t>
            </w:r>
          </w:p>
        </w:tc>
        <w:tc>
          <w:tcPr>
            <w:tcW w:w="80" w:type="dxa"/>
            <w:tcBorders/>
            <w:shd w:fill="CCEEFF" w:val="clear"/>
            <w:vAlign w:val="center"/>
          </w:tcPr>
          <w:p>
            <w:pPr>
              <w:pStyle w:val="TableContents"/>
              <w:bidi w:val="0"/>
              <w:spacing w:before="0" w:after="283"/>
              <w:jc w:val="left"/>
              <w:rPr/>
            </w:pPr>
            <w:r>
              <w:rPr/>
              <w:t> </w:t>
            </w:r>
          </w:p>
        </w:tc>
      </w:tr>
      <w:tr>
        <w:trPr/>
        <w:tc>
          <w:tcPr>
            <w:tcW w:w="503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(125,600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repurchased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(635,400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471</w:t>
            </w:r>
          </w:p>
        </w:tc>
        <w:tc>
          <w:tcPr>
            <w:tcW w:w="80" w:type="dxa"/>
            <w:tcBorders/>
            <w:shd w:fill="FFFFFF" w:val="clear"/>
            <w:vAlign w:val="center"/>
          </w:tcPr>
          <w:p>
            <w:pPr>
              <w:pStyle w:val="TableContents"/>
              <w:bidi w:val="0"/>
              <w:spacing w:before="0" w:after="283"/>
              <w:jc w:val="left"/>
              <w:rPr/>
            </w:pPr>
            <w:r>
              <w:rPr/>
              <w:t> </w:t>
            </w:r>
          </w:p>
        </w:tc>
      </w:tr>
      <w:tr>
        <w:trPr/>
        <w:tc>
          <w:tcPr>
            <w:tcW w:w="503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9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34,061,831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w:t>
      </w:r>
      <w:r>
        <w:rPr>
          <w:rFonts w:ascii="Times New Roman" w:hAnsi="Times New Roman"/>
          <w:b/>
          <w:caps/>
          <w:sz w:val="20"/>
        </w:rPr>
        <w:t>three months ended March 31,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6470"/>
        <w:gridCol w:w="125"/>
        <w:gridCol w:w="590"/>
        <w:gridCol w:w="80"/>
        <w:gridCol w:w="125"/>
        <w:gridCol w:w="545"/>
        <w:gridCol w:w="80"/>
      </w:tblGrid>
      <w:tr>
        <w:trPr/>
        <w:tc>
          <w:tcPr>
            <w:tcW w:w="647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oil and natural gas properties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commodity derivatives losses, net</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settlements received</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(gains) on marketable equity securities</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and loss on real estate held for sale</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amortization</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sales receivable</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and royalties payable</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operating lease liability</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asset retirement obligations</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industrial gas properties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Industrial gas capital expenditures</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capital expenditures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expenditures</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oil and natural gas properties, net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insurance premium finance note</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to settle tax withholding obligations for restricted stock awards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Related party share repurchase</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underwritten offering</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9,745</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increase (decrease) in cash and equivalents</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2,779</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equivalents, beginning of period</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7,723</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equivalents, end of period</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10,502</w:t>
            </w:r>
          </w:p>
        </w:tc>
        <w:tc>
          <w:tcPr>
            <w:tcW w:w="8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80"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The accompanying notes are an integral part of these unaudited Condensed Consolidated Financial Statements. Please see </w:t>
      </w:r>
      <w:r>
        <w:rPr>
          <w:rFonts w:ascii="Times New Roman" w:hAnsi="Times New Roman"/>
          <w:i/>
          <w:caps w:val="false"/>
          <w:smallCaps w:val="false"/>
          <w:sz w:val="20"/>
        </w:rPr>
        <w:t>Note-15- Supplemental Disclosures of Cash Flow Information</w:t>
      </w: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0" w:name="notes"/>
      <w:bookmarkEnd w:id="10"/>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OPERATIONS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Organization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U.S. Energy Corp. (collectively with its wholly-owned subsidiaries, Energy One LLC (“Energy One”), New Horizon Resources LLC (“New Horizon Resources”) and Coyote Resources LLC ("Coyote Resources"), which was formed on </w:t>
      </w:r>
      <w:r>
        <w:rPr>
          <w:rStyle w:val="Emphasis"/>
          <w:rFonts w:ascii="Times New Roman" w:hAnsi="Times New Roman"/>
          <w:caps w:val="false"/>
          <w:smallCaps w:val="false"/>
          <w:sz w:val="20"/>
        </w:rPr>
        <w:t xml:space="preserve">August 6, 2024, </w:t>
      </w:r>
      <w:r>
        <w:rPr>
          <w:rFonts w:ascii="Times New Roman" w:hAnsi="Times New Roman"/>
          <w:caps w:val="false"/>
          <w:smallCaps w:val="false"/>
          <w:sz w:val="20"/>
        </w:rPr>
        <w:t>are referred to as the “Company” in these notes to unaudited Condensed Consolidated Financial Statements) is incorporated in the State of Delaware. The Company’s principal business activities are focused on the acquisition, exploration, and development of helium, carbon dioxide, nitrogen and hydrocarbons (collectively, "industrial gas" or "industrial gases"), and oil and natural gas properties (collectively referred to as "commodities" or "industrial gas and oil and natural gas")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are presented in accordance with U.S. generally accepted accounting principles (“GAAP”) and have been prepared by the Company pursuant to the rules and regulations of the Securities and Exchange Commission (the “SEC”) regarding interim financial reporting. Accordingly, certain information and footnote disclosures required by GAAP for complete financial statements have been condensed or omitted in accordance with such rules and regulations. In the opinion of management, all adjustments (consisting of normal recurring adjustments) considered necessary for a fair presentation of the Condensed Consolidated Financial Statements have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information, refer to the consolidated financial statements and footnotes thereto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as filed with the SEC on </w:t>
      </w:r>
      <w:r>
        <w:rPr>
          <w:rStyle w:val="Emphasis"/>
          <w:rFonts w:ascii="Times New Roman" w:hAnsi="Times New Roman"/>
          <w:caps w:val="false"/>
          <w:smallCaps w:val="false"/>
          <w:sz w:val="20"/>
        </w:rPr>
        <w:t xml:space="preserve">March 13, 2025. </w:t>
      </w:r>
      <w:r>
        <w:rPr>
          <w:rFonts w:ascii="Times New Roman" w:hAnsi="Times New Roman"/>
          <w:caps w:val="false"/>
          <w:smallCaps w:val="false"/>
          <w:sz w:val="20"/>
        </w:rPr>
        <w:t xml:space="preserve">Our financial condition as of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financial condition and results of operations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any future interim period or for the year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include oil and natural gas reserves that are used in the calculation of depreciation, depletion, amortization ("DD&amp;A") and impairment of the carrying value of proved oil and natural gas properties, and the cost and timing of future asset retirement obligations. The Company evaluates its estimates on an on-going basis and bases its estimates on historical experience and on various other assumptions the Company believes to be reasonable. Due to inherent uncertainties, including the future prices of oil and natural gas, these estimates could change in the near term and such changes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conformity with GAAP and include the accounts of U.S. Energy Corp. and its wholly-owned subsidiaries Energy One, New Horizon Resources and Coyote Resources. U.S. Energy Corp. accounts for its share of oil and natural gas exploration and production activities, and industrial gas activities in which it has a direct working interest, by reporting its proportionate share of assets, liabilities, revenues, costs, and cash flows within the relevant lines on the Condensed Consolidated Balance Sheets, Statements of Operations, and Statements of Cash Flows.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Industry Segment and Geographic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currently operates in the exploration and production segment of the oil and natural gas industry, onshore in the United States. The Company’s operations are all related to oil and natural gas from which the Company derives all its revenues. The Company manages its business as a single reportable segment, as its operations are focused on assets with similar economic characteristics, production processes, types of purchasers, regulatory environment and customers which are consistent across the Company. Therefore, the Company aggregates its operating regions into one reportable segment. Our principal properties and operations are currently in the Rockies region (Montana, and Wyoming), the Mid-Continent region (Oklahoma, Kansas, and North and East Texas), and West Texas, South Texas and Gulf Coast region. Our Chief Executive Officer is our chief operating decision maker (CODM). The CODM utilizes operating income or loss as the primary operating measure to evaluate the performance of properties, which is revenues less lease operating expenses. Other segment items primarily consist of total assets, DD&amp;A, general and administrative expense, gain or loss on derivative activity, interest expense and income tax expense or benefit. Our significant segment expenses and other segment items are derived from and can be found within the Condensed Consolidated Balance Sheets and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Industrial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capitalizes all costs associated with the acquisition, exploration and development of industrial gas properties. The acquisition of leases, cost of acquiring drilling permits, drilling, development and asset retirement costs are capitalized as exploration and unevaluated properties. When commercially viable quantities of industrial gas reserves are discovered, the associated costs are reclassified to evaluated assets. The Company will periodically assess exploration and unevaluated properties on a property by property basis to determine whether they have been impaired. The assessment would include a review of capital plans including drilling or construction of production infrastructure on the property and assessment of expected cash flows for recoverability. Any additional costs to develop the properties or to construct infrastructure to produce and process industrial gases, including processing plant construction costs, will be capitalized as evaluated. Interest expense, if any, is capitalized on qualifying expenditures. Evaluated industrial gas properties are subject to DD&amp;A once production commences utilizing the units of production method. Evaluated industrial gas properties are stated at cost, less accumulated depletion,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value of evaluated properties is reviewed for impairment when there are indications that it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due to significant and prolonged declines in prices, significant reductions in estimated resources, changes in the Company’s plans or other significant events that indicate that an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exist. If any such indication of impairment exists and the sum of the undiscounted cash flows is less than the carrying value of the evaluated property, the carrying value is reduced to estimated fair value and reported as an impairment charge in the period with a reduction in the associated carrying cost. Individual evaluated properties are grouped for impairment purposes at the lowest level for which there are identifiable cash flows. The fair value of impaired property is typically determined based on the present value of expected future cash flows using discount rates believed to be consistent with market participants. The impairment test incorporates several assumptions involving expectations of future cash flows which can change significantly over time. These assumptions include estimates of future production, future contracted industrial gas prices, estimates of future operating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Proceeds from partial dispositions of unevaluated property are offset against the acquisition cost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recognized and the remaining unevaluated property will be subject to impairment assessment. In the event we dispose of all interest in a significant, unevaluated property, gain or loss will be recognized. Gain or loss will be recognized on dispositions of evaluated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Improvements to Income Tax Disclosures," which is effective for annual periods beginning after </w:t>
      </w:r>
      <w:r>
        <w:rPr>
          <w:rStyle w:val="Emphasis"/>
          <w:rFonts w:ascii="Times New Roman" w:hAnsi="Times New Roman"/>
          <w:caps w:val="false"/>
          <w:smallCaps w:val="false"/>
          <w:sz w:val="20"/>
        </w:rPr>
        <w:t>December 15,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amendments from this update provide transparency about income tax information through improvements primarily related to the rate reconciliation and income taxes paid information. Among other disclosures, public business entities are required to disclose a tabular reconciliation, using both percentages and reporting currency amounts, showing detail from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specific categories: (a) state and local income tax net of federal (national) income tax effect, (b) foreign tax effects, (c) effect of changes in tax laws or rates enacted in the current period, (d) effect of cross-border tax laws, (e) tax credits, (f) changes in valuation allowances, (g) nontaxable or nondeductible items, and (h) changes in unrecognized tax benefits. In addition, public business entities are required to separately disclose any reconciling item, disaggregated by nature and/or jurisdiction, in which the effect of the reconciling item is equal to or greater than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percent of the amount computed by multiplying the income (or loss) from continuing operations before income taxes by the applicable statutory income tax rate. Also, for the state and local category, a public business entity is required to provide a qualitative description of the states and local jurisdictions that make up the majority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percent) of the category.  Additional disclosures required a disaggregation of both continuing income before income taxes and taxes paid by jurisdiction.  The Company is currently assessing the impact of adopting this new guidance on its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New Accounting Pronouncement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which expands disclosures around a public entity’s costs and expenses of specific items (i.e. employee compensation, DD&amp;A), requires the inclusion of amounts that are required to be disclosed under GAAP in the same disclosure as other disaggregation requirements, requires qualitative descriptions of amounts remaining in expense captions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disaggregated quantitatively, and requires disclosure of total selling expenses, and in annual periods, the definition of selling expenses. The amendment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or remove existing disclosure requirements. The amendment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and the amendment can be adopted prospectively or retrospectively to any or all periods presented in the financial statements. The Company is currently assessing the impact of adopting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Acquisition of industrial gas</w:t>
      </w:r>
      <w:r>
        <w:rPr>
          <w:rFonts w:ascii="Times New Roman" w:hAnsi="Times New Roman"/>
          <w:caps w:val="false"/>
          <w:smallCaps w:val="false"/>
          <w:sz w:val="20"/>
        </w:rPr>
        <w:t xml:space="preserve"> </w:t>
      </w:r>
      <w:r>
        <w:rPr>
          <w:rFonts w:ascii="Times New Roman" w:hAnsi="Times New Roman"/>
          <w:b/>
          <w:caps w:val="false"/>
          <w:smallCaps w:val="false"/>
          <w:sz w:val="20"/>
        </w:rPr>
        <w:t>acreage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2025, </w:t>
      </w:r>
      <w:r>
        <w:rPr>
          <w:rFonts w:ascii="Times New Roman" w:hAnsi="Times New Roman"/>
          <w:caps w:val="false"/>
          <w:smallCaps w:val="false"/>
          <w:sz w:val="20"/>
        </w:rPr>
        <w:t>the Company entered into, and simultaneously closed the related party transactions contemplated by, a Purchase and Sale Agreement (the “Synergy Purchase Agreement”), with Synergy Offshore LLC (“Synergy”). Synergy is controlled by Mr. Duane H. King, a member of the Board of Directors of the Company, who serves as the Chief Executive Officer and Manager of Synergy, and John A. Weinzierl, the Company’s Chairman, who is an approximate sixty percent beneficial owner of Synergy.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Pursuant to the Synergy Purchase Agreement, the Company purchased from Synergy, 24,000 net operated acres located across the Kevin Dome structure in Toole County, Montana, which are highly contiguous to the assigned rights the Company acquired in the Wavetech acquisition, including all leases, wells, rights and interests in, under or derived from all communalization, unitization, or pooling agreements or pooling orders, easements, mineral interests, contracts, production, equipment, claims, receivables, indemnities, permits, seismic studies and records, associated therewith (collectively, the “Property”), subject to Synergy retaining an undivided twenty percent (</w:t>
      </w:r>
      <w:r>
        <w:rPr>
          <w:rStyle w:val="Emphasis"/>
          <w:rFonts w:ascii="Times New Roman" w:hAnsi="Times New Roman"/>
          <w:caps w:val="false"/>
          <w:smallCaps w:val="false"/>
          <w:sz w:val="20"/>
        </w:rPr>
        <w:t>20.00%</w:t>
      </w:r>
      <w:r>
        <w:rPr>
          <w:rFonts w:ascii="Times New Roman" w:hAnsi="Times New Roman"/>
          <w:caps w:val="false"/>
          <w:smallCaps w:val="false"/>
          <w:sz w:val="20"/>
        </w:rPr>
        <w:t>) of Synergy’s right, title, and interest in the Property, and certain excluded assets (the “Synergy Reserved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Property was acquired in consideration for (a) $2.0 million in cash, subject to customary adjustments; (b) 1,400,000 shares of the Company’s common stock (representing 4.76% of the Company’s outstanding common stock at the time of the entry into the Purchase Agreement) (the “Closing Shares”); (c) a carried working interest whereby the Company agreed to cover and pay for 100% of Synergy’s costs attributable to the Synergy Reserved Interest, until the earlier of (i) 78 months from the closing date; or (ii) the date the total costs associated therewith total $20 million; (d) the Company's agreement to pay Synergy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cash amounts it actually realizes following the closing in, so much as they result from, are generated by, or are credited to the Company, pursuant to any law or regulation allowing for benefits resulting from our sequestration of carbon oxides or similar substances derived directly from the area of mutual interest (“AMI”) surrounding the Property; and (e) the Company's agreement to pay Synergy 18% of the gain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receive in connection with the sale of the future, first, gas processing plant located on the Property (which includes any expansions connected to the initial installation that processes production from within the AMI in which the Company has a financial interest), in the same form as the consideration we receive upon such sale. Total consideration was $4.7 million. The transaction was accounted for as an asset acquisition and recorded as an unevaluated industrial gas asset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disaggregates revenues from its share of revenue from the sale of oil and natural gas and liquids by region. The Company’s revenues in the Rockies region, West Texas, South Texas, and Gulf Coast region, and Mid-Continent region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6113" w:type="dxa"/>
        <w:jc w:val="left"/>
        <w:tblInd w:w="0" w:type="dxa"/>
        <w:tblLayout w:type="fixed"/>
        <w:tblCellMar>
          <w:top w:w="0" w:type="dxa"/>
          <w:left w:w="0" w:type="dxa"/>
          <w:bottom w:w="0" w:type="dxa"/>
          <w:right w:w="0" w:type="dxa"/>
        </w:tblCellMar>
      </w:tblPr>
      <w:tblGrid>
        <w:gridCol w:w="3335"/>
        <w:gridCol w:w="60"/>
        <w:gridCol w:w="248"/>
        <w:gridCol w:w="962"/>
        <w:gridCol w:w="119"/>
        <w:gridCol w:w="119"/>
        <w:gridCol w:w="248"/>
        <w:gridCol w:w="962"/>
        <w:gridCol w:w="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Rockies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1,721</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West Texas, South Texas, and Gulf Coast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Mid-Continent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Combined Total</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Significant concentrations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exposure to credit risk in the event of non-payment of oil and natural gas receivables by purchasers of its operated oil and natural gas properties. The following table presents the purchasers that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total oil and natural gas revenue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periods presented:</w:t>
      </w:r>
    </w:p>
    <w:p>
      <w:pPr>
        <w:pStyle w:val="TextBody"/>
        <w:bidi w:val="0"/>
        <w:spacing w:before="0" w:after="0"/>
        <w:ind w:left="0" w:right="0" w:hanging="0"/>
        <w:jc w:val="left"/>
        <w:rPr>
          <w:caps w:val="false"/>
          <w:smallCaps w:val="false"/>
        </w:rPr>
      </w:pPr>
      <w:r>
        <w:rPr>
          <w:caps w:val="false"/>
          <w:smallCaps w:val="false"/>
        </w:rPr>
        <w:t> </w:t>
      </w:r>
    </w:p>
    <w:tbl>
      <w:tblPr>
        <w:tblW w:w="3013" w:type="dxa"/>
        <w:jc w:val="left"/>
        <w:tblInd w:w="0" w:type="dxa"/>
        <w:tblLayout w:type="fixed"/>
        <w:tblCellMar>
          <w:top w:w="0" w:type="dxa"/>
          <w:left w:w="0" w:type="dxa"/>
          <w:bottom w:w="0" w:type="dxa"/>
          <w:right w:w="0" w:type="dxa"/>
        </w:tblCellMar>
      </w:tblPr>
      <w:tblGrid>
        <w:gridCol w:w="995"/>
        <w:gridCol w:w="60"/>
        <w:gridCol w:w="128"/>
        <w:gridCol w:w="490"/>
        <w:gridCol w:w="394"/>
        <w:gridCol w:w="128"/>
        <w:gridCol w:w="128"/>
        <w:gridCol w:w="490"/>
        <w:gridCol w:w="200"/>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394"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A</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3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B</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3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Purchaser C</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3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operating lease right-of-use asset and lease obligation are recognized at their discounted present value under the following captions in the Condensed Consolidated Balance Sheets as of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13" w:type="dxa"/>
        <w:jc w:val="left"/>
        <w:tblInd w:w="0" w:type="dxa"/>
        <w:tblLayout w:type="fixed"/>
        <w:tblCellMar>
          <w:top w:w="0" w:type="dxa"/>
          <w:left w:w="0" w:type="dxa"/>
          <w:bottom w:w="0" w:type="dxa"/>
          <w:right w:w="0" w:type="dxa"/>
        </w:tblCellMar>
      </w:tblPr>
      <w:tblGrid>
        <w:gridCol w:w="2225"/>
        <w:gridCol w:w="60"/>
        <w:gridCol w:w="363"/>
        <w:gridCol w:w="976"/>
        <w:gridCol w:w="60"/>
        <w:gridCol w:w="60"/>
        <w:gridCol w:w="436"/>
        <w:gridCol w:w="1173"/>
        <w:gridCol w:w="6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180" w:hanging="180"/>
              <w:jc w:val="left"/>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lease obligation</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recognizes lease expense on a straight-line basis excluding short-term and variable lease payments, which are recognized as incurred. Short-term lease cost represents payments for oilfield equipment with original lease terms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The following are the amounts recognized as components of lease cost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477" w:type="dxa"/>
        <w:jc w:val="left"/>
        <w:tblInd w:w="0" w:type="dxa"/>
        <w:tblLayout w:type="fixed"/>
        <w:tblCellMar>
          <w:top w:w="0" w:type="dxa"/>
          <w:left w:w="0" w:type="dxa"/>
          <w:bottom w:w="0" w:type="dxa"/>
          <w:right w:w="0" w:type="dxa"/>
        </w:tblCellMar>
      </w:tblPr>
      <w:tblGrid>
        <w:gridCol w:w="1700"/>
        <w:gridCol w:w="60"/>
        <w:gridCol w:w="355"/>
        <w:gridCol w:w="654"/>
        <w:gridCol w:w="170"/>
        <w:gridCol w:w="170"/>
        <w:gridCol w:w="355"/>
        <w:gridCol w:w="953"/>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7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7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rFonts w:ascii="Times New Roman;Times;serif" w:hAnsi="Times New Roman;Times;serif"/>
          <w:sz w:val="20"/>
        </w:rPr>
        <w:t xml:space="preserve">The Company’s Houston office operating lease does </w:t>
      </w:r>
      <w:r>
        <w:rPr>
          <w:rStyle w:val="Emphasis"/>
          <w:rFonts w:ascii="Times New Roman;Times;serif" w:hAnsi="Times New Roman;Times;serif"/>
          <w:sz w:val="20"/>
        </w:rPr>
        <w:t>not</w:t>
      </w:r>
      <w:r>
        <w:rPr>
          <w:rFonts w:ascii="Times New Roman;Times;serif" w:hAnsi="Times New Roman;Times;serif"/>
          <w:sz w:val="20"/>
        </w:rPr>
        <w:t xml:space="preserve"> contain implicit interest rates that can be readily determined; therefore, the Company used the incremental borrowing rates in effect at the time the Company entered into the leases.</w:t>
      </w:r>
    </w:p>
    <w:p>
      <w:pPr>
        <w:pStyle w:val="TextBody"/>
        <w:bidi w:val="0"/>
        <w:spacing w:before="0" w:after="0"/>
        <w:ind w:left="0" w:right="0" w:hanging="0"/>
        <w:jc w:val="left"/>
        <w:rPr>
          <w:caps w:val="false"/>
          <w:smallCaps w:val="false"/>
        </w:rPr>
      </w:pPr>
      <w:r>
        <w:rPr>
          <w:caps w:val="false"/>
          <w:smallCaps w:val="false"/>
        </w:rPr>
        <w:t> </w:t>
      </w:r>
    </w:p>
    <w:tbl>
      <w:tblPr>
        <w:tblW w:w="4512" w:type="dxa"/>
        <w:jc w:val="left"/>
        <w:tblInd w:w="0" w:type="dxa"/>
        <w:tblLayout w:type="fixed"/>
        <w:tblCellMar>
          <w:top w:w="0" w:type="dxa"/>
          <w:left w:w="0" w:type="dxa"/>
          <w:bottom w:w="0" w:type="dxa"/>
          <w:right w:w="0" w:type="dxa"/>
        </w:tblCellMar>
      </w:tblPr>
      <w:tblGrid>
        <w:gridCol w:w="2930"/>
        <w:gridCol w:w="60"/>
        <w:gridCol w:w="71"/>
        <w:gridCol w:w="452"/>
        <w:gridCol w:w="220"/>
        <w:gridCol w:w="71"/>
        <w:gridCol w:w="71"/>
        <w:gridCol w:w="452"/>
        <w:gridCol w:w="185"/>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 March 31,</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22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7"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lease term (years)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2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Maturity of operating lease liabilities with terms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more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are presented in the following table:</w:t>
      </w:r>
    </w:p>
    <w:p>
      <w:pPr>
        <w:pStyle w:val="TextBody"/>
        <w:bidi w:val="0"/>
        <w:spacing w:before="0" w:after="0"/>
        <w:ind w:left="0" w:right="0" w:hanging="0"/>
        <w:jc w:val="left"/>
        <w:rPr>
          <w:caps w:val="false"/>
          <w:smallCaps w:val="false"/>
        </w:rPr>
      </w:pPr>
      <w:r>
        <w:rPr>
          <w:caps w:val="false"/>
          <w:smallCaps w:val="false"/>
        </w:rPr>
        <w:t> </w:t>
      </w:r>
    </w:p>
    <w:tbl>
      <w:tblPr>
        <w:tblW w:w="3284" w:type="dxa"/>
        <w:jc w:val="left"/>
        <w:tblInd w:w="0" w:type="dxa"/>
        <w:tblLayout w:type="fixed"/>
        <w:tblCellMar>
          <w:top w:w="0" w:type="dxa"/>
          <w:left w:w="0" w:type="dxa"/>
          <w:bottom w:w="0" w:type="dxa"/>
          <w:right w:w="0" w:type="dxa"/>
        </w:tblCellMar>
      </w:tblPr>
      <w:tblGrid>
        <w:gridCol w:w="1805"/>
        <w:gridCol w:w="60"/>
        <w:gridCol w:w="363"/>
        <w:gridCol w:w="976"/>
        <w:gridCol w:w="80"/>
      </w:tblGrid>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OIL AND NATURAL GAS PRODUCING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Full Cost Method Ceiling Test and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reserves used in the ceiling test incorporate assumptions regarding pricing and discount rates over which management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influence in the determination of present value. In the calculation of the ceiling test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Company used $74.52 per barrel for oil and $2.44 per </w:t>
      </w:r>
      <w:r>
        <w:rPr>
          <w:rStyle w:val="Emphasis"/>
          <w:rFonts w:ascii="Times New Roman" w:hAnsi="Times New Roman"/>
          <w:caps w:val="false"/>
          <w:smallCaps w:val="false"/>
          <w:sz w:val="20"/>
        </w:rPr>
        <w:t>one million</w:t>
      </w:r>
      <w:r>
        <w:rPr>
          <w:rFonts w:ascii="Times New Roman" w:hAnsi="Times New Roman"/>
          <w:caps w:val="false"/>
          <w:smallCaps w:val="false"/>
          <w:sz w:val="20"/>
        </w:rPr>
        <w:t xml:space="preserve"> British Thermal Units (MMbtu) for natural gas (as further adjusted for property, specific gravity, quality, local markets and distance from markets) to compute the future cash flows of the Company’s producing properties. The discount factor used was 10%. No ceiling test write down was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recorded a $5.4 million ceiling test write-down of its oil and natural gas properties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due to a reduction in the value of proved oil and natural gas reserves primarily as a result of a decrease in crude oil and natural gas prices, as well as reserves revisions related to wells shut-in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updates to the decline curves for certain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5, 2022, </w:t>
      </w:r>
      <w:r>
        <w:rPr>
          <w:rFonts w:ascii="Times New Roman" w:hAnsi="Times New Roman"/>
          <w:caps w:val="false"/>
          <w:smallCaps w:val="false"/>
          <w:sz w:val="20"/>
        </w:rPr>
        <w:t xml:space="preserve">the Company entered into a four-year credit agreement (“Credit Agreement”) with FirstBank Southwest (“FirstBank”) as administrative agent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lenders (the “Lenders”), which provided for a revolving line of credit with an initial borrowing base of $15 million, and a maximum credit amount of $100 million. Borrowings under the Credit Agreement are collateralized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perfected lien and security interests on substantially all assets of the Company (subject to permitted liens and other customary exceptions). On </w:t>
      </w:r>
      <w:r>
        <w:rPr>
          <w:rStyle w:val="Emphasis"/>
          <w:rFonts w:ascii="Times New Roman" w:hAnsi="Times New Roman"/>
          <w:caps w:val="false"/>
          <w:smallCaps w:val="false"/>
          <w:sz w:val="20"/>
        </w:rPr>
        <w:t xml:space="preserve">July 26, 2022, </w:t>
      </w:r>
      <w:r>
        <w:rPr>
          <w:rFonts w:ascii="Times New Roman" w:hAnsi="Times New Roman"/>
          <w:caps w:val="false"/>
          <w:smallCaps w:val="false"/>
          <w:sz w:val="20"/>
        </w:rPr>
        <w:t xml:space="preserve">the Company entered into a letter agreement with FirstBank whereby it increased the borrowing base under the Credit Agreement from $15 million to $20 million. Under the Credit Agreement, revolving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borrowed, repaid and re-borrowed until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when all outstanding amounts must be repaid. The Company is currently renegotiating its Credit Agreement with FirstBank.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Credit Agreement, revolving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borrowed, repaid and re-borrowed until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 xml:space="preserve">when all outstanding amounts must be repaid. Interest on the outstanding amounts under the Credit Agreement will accrue at an interest rate equal to the greater of (i) the prime rate in effect on such day, and (ii) the Federal Funds rate in effect on such day (as determined in the Credit Agreement) plus 0.50%, and an applicable margin that ranges between 0.25% to 1.25% depending on utilization of the amount of the borrowing base (the “Applicable Margin”). Interest expense from drawn balances recognized on the Credit Agreement and the weighted average interest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5381" w:type="dxa"/>
        <w:jc w:val="left"/>
        <w:tblInd w:w="0" w:type="dxa"/>
        <w:tblLayout w:type="fixed"/>
        <w:tblCellMar>
          <w:top w:w="0" w:type="dxa"/>
          <w:left w:w="0" w:type="dxa"/>
          <w:bottom w:w="0" w:type="dxa"/>
          <w:right w:w="0" w:type="dxa"/>
        </w:tblCellMar>
      </w:tblPr>
      <w:tblGrid>
        <w:gridCol w:w="2480"/>
        <w:gridCol w:w="60"/>
        <w:gridCol w:w="300"/>
        <w:gridCol w:w="661"/>
        <w:gridCol w:w="445"/>
        <w:gridCol w:w="144"/>
        <w:gridCol w:w="300"/>
        <w:gridCol w:w="806"/>
        <w:gridCol w:w="18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445"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45"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interest rate</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4"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Agreement contains various restrictive covenants and compliance requirements, which include: (i) maintenance of certain financial ratios, as defined in the Credit Agreement tested quarterly, that limit the Company’s ratio of total debt to EBITDAX (as defined in the Credit Agreement) to 3:1 and require its ratio of consolidated current assets to consolidated current liabilities (as each is described in the Credit Agreement) to remain at 1:1 or higher; (ii) restrictions on making restricted payments as defined in the Credit Agreement, including the payment of cash dividends and repurchases of equity interests (subject to certain limited rights to make restricted payments as long 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event of default has occurred, or would result from the restricted payment, certain financial ratios are met and the borrowing availability after giving pro forma effect to any borrowing to be made on the date of the restricted payment is greater than, or equal to, 20% of the then existing borrowing base); (iii) limits on the incurrence of additional indebtedness; (iv) a prohibition on the entry into commodity swap contracts exceeding a specified percentage of our expected production; and (v) restrictions on the disposition of assets.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the borrowing base was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10, 2024, </w:t>
      </w:r>
      <w:r>
        <w:rPr>
          <w:rFonts w:ascii="Times New Roman" w:hAnsi="Times New Roman"/>
          <w:caps w:val="false"/>
          <w:smallCaps w:val="false"/>
          <w:sz w:val="20"/>
        </w:rPr>
        <w:t xml:space="preserve">with the proceeds of $1.8 million from the settlement of the derivative contracts and cash on hand, the Company repaid the then remaining balance of $2.0 million borrowed under the Credit Agreement. Therefore, there were no amounts outstanding on the Credit Agreement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COMMODITY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results of operations and cash flows are affected by changes in market prices for crude oil and natural gas. To manage a portion of its exposure to price volatility from producing crude oil and natural gas,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enter into commodity derivative contracts to protect against price declines in future periods.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derivative contracts for speculative purposes.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apply hedge accounting. Accordingly, changes in the fair value of the derivative contracts are recorded in the Condensed Consolidated Statements of Operations and are included as a non-cash adjustment to net loss in the operating activities section in the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no longer has any commodity derivative contracts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components of the commodity derivative settlement gain (loss) as well as the components of the net commodity derivative (gain) loss line-item presentation in the accompanying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6867" w:type="dxa"/>
        <w:jc w:val="left"/>
        <w:tblInd w:w="0" w:type="dxa"/>
        <w:tblLayout w:type="fixed"/>
        <w:tblCellMar>
          <w:top w:w="0" w:type="dxa"/>
          <w:left w:w="0" w:type="dxa"/>
          <w:bottom w:w="0" w:type="dxa"/>
          <w:right w:w="0" w:type="dxa"/>
        </w:tblCellMar>
      </w:tblPr>
      <w:tblGrid>
        <w:gridCol w:w="4070"/>
        <w:gridCol w:w="60"/>
        <w:gridCol w:w="334"/>
        <w:gridCol w:w="213"/>
        <w:gridCol w:w="160"/>
        <w:gridCol w:w="160"/>
        <w:gridCol w:w="334"/>
        <w:gridCol w:w="1456"/>
        <w:gridCol w:w="80"/>
      </w:tblGrid>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1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settlement gain (loss):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3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commodity derivative settlement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commodity derivative gain (loss):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3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commodity derivative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subject to litigation and claims arising in the ordinary course of business. The Company accrues for such items when a liability is both probable and the amount can be reasonably estimated. In the opinion of management, the anticipated results of any pending litigation and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effect on the results of operations, the financial position, or the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22, 2025, </w:t>
      </w:r>
      <w:r>
        <w:rPr>
          <w:rFonts w:ascii="Times New Roman" w:hAnsi="Times New Roman"/>
          <w:caps w:val="false"/>
          <w:smallCaps w:val="false"/>
          <w:sz w:val="20"/>
        </w:rPr>
        <w:t>the Company entered into an underwriting agreement (the “Underwriting Agreement”) with Roth Capital Partners, LLC (the “Representative”), as representative of the several underwriters named in the Underwriting Agreement (the “Underwriters”), relating to an underwritten offering of 4,871,400 shares of common stock, at a price to the public of $2.65 per share (such offering,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sale of 4,871,400 shares of Common Stock (including the full 635,400 Option) in connection with the Offering, closed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The Company generated approximately $11.9 million of net proceeds from the Offering, after deducting the underwriting discounts and commissions and offering costs payable by us, and plans to use such proceeds for the development of its recent acquisition in Montana, general corporate purposes, and working capital, or for other purposes that our board of directors, in their good faith, deems to be in the best interest of the Company. Additionally, management used $1.574 million from the Option exercise to purchase shares of common stock from Sage Road Capital, LLC (a current shareholder of the Company whose co-manager is Joshua L. Batchelor, a then member of the Board of Directors of the Company) and its affiliates at a price equal to the public offering price of the Offering, less underwriting discounts, which sale took place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Party 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deemed to beneficially own the shares of common stock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Pursuant to the Share Repurchase Agreement, the Company, in a private transaction, outside of, and separate from the Company’s previously disclosed share repurchase program,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repurchased (a) 534,020 shares of common stock held by Banner, (b) 41,229 shares of common stock held by Woodford, and (c) 60,151 shares of common stock held by Sage Road, for an aggregate of $1.574 million or approximately $2.48 per share, which is the net price per share of the 4,871,400 shares of Common Stock which we sold in our underwritten public offering which closed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less underwriting discounts and commissions, and which represented an 8.2% premium to the closing sales price of the Company's Common Stock on </w:t>
      </w:r>
      <w:r>
        <w:rPr>
          <w:rStyle w:val="Emphasis"/>
          <w:rFonts w:ascii="Times New Roman" w:hAnsi="Times New Roman"/>
          <w:caps w:val="false"/>
          <w:smallCaps w:val="false"/>
          <w:sz w:val="20"/>
        </w:rPr>
        <w:t>January 27,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share repurchase program was approved by the disinterested members of the Board of Directors of the Company, as well as the Company’s Audit Committee, comprised solely of independent directors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affiliated with Mr. Batchelor or the Selling Stockholders.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Option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stock options under its incentive plan covering shares of common stock to employees of the Company. Stock options, when exercised, are settled through the payment of the exercise price in exchange for new shares of stock underlying the option. These awards typically expire ten years from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there was no compensation expense related to stock options. As of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all stock options had vested. No stock options were granted or exercised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stock options had de minimis intrinsic values for the periods reported. Presented below is information for stock options outstanding and exercisable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378" w:type="dxa"/>
        <w:jc w:val="left"/>
        <w:tblInd w:w="0" w:type="dxa"/>
        <w:tblLayout w:type="fixed"/>
        <w:tblCellMar>
          <w:top w:w="0" w:type="dxa"/>
          <w:left w:w="0" w:type="dxa"/>
          <w:bottom w:w="0" w:type="dxa"/>
          <w:right w:w="0" w:type="dxa"/>
        </w:tblCellMar>
      </w:tblPr>
      <w:tblGrid>
        <w:gridCol w:w="3470"/>
        <w:gridCol w:w="60"/>
        <w:gridCol w:w="81"/>
        <w:gridCol w:w="808"/>
        <w:gridCol w:w="60"/>
        <w:gridCol w:w="60"/>
        <w:gridCol w:w="167"/>
        <w:gridCol w:w="648"/>
        <w:gridCol w:w="60"/>
        <w:gridCol w:w="60"/>
        <w:gridCol w:w="82"/>
        <w:gridCol w:w="807"/>
        <w:gridCol w:w="70"/>
        <w:gridCol w:w="70"/>
        <w:gridCol w:w="167"/>
        <w:gridCol w:w="648"/>
        <w:gridCol w:w="6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Number of</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Exercise</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outstanding and exercisable</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22,176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information for stock options outstanding and for stock options exercisable at </w:t>
      </w:r>
      <w:r>
        <w:rPr>
          <w:rStyle w:val="Emphasis"/>
          <w:rFonts w:ascii="Times New Roman" w:hAnsi="Times New Roman"/>
          <w:caps w:val="false"/>
          <w:smallCaps w:val="false"/>
          <w:sz w:val="20"/>
        </w:rPr>
        <w:t>March 31, 2025</w:t>
      </w:r>
      <w:r>
        <w:rPr>
          <w:rFonts w:ascii="Times New Roman" w:hAnsi="Times New Roman"/>
          <w:caps w:val="false"/>
          <w:smallCaps w:val="false"/>
          <w:sz w:val="20"/>
        </w:rPr>
        <w:t> by the remaining contractual term:</w:t>
      </w:r>
    </w:p>
    <w:tbl>
      <w:tblPr>
        <w:tblW w:w="4445" w:type="dxa"/>
        <w:jc w:val="left"/>
        <w:tblInd w:w="0" w:type="dxa"/>
        <w:tblLayout w:type="fixed"/>
        <w:tblCellMar>
          <w:top w:w="0" w:type="dxa"/>
          <w:left w:w="0" w:type="dxa"/>
          <w:bottom w:w="28" w:type="dxa"/>
          <w:right w:w="0" w:type="dxa"/>
        </w:tblCellMar>
      </w:tblPr>
      <w:tblGrid>
        <w:gridCol w:w="920"/>
        <w:gridCol w:w="60"/>
        <w:gridCol w:w="60"/>
        <w:gridCol w:w="125"/>
        <w:gridCol w:w="380"/>
        <w:gridCol w:w="60"/>
        <w:gridCol w:w="60"/>
        <w:gridCol w:w="125"/>
        <w:gridCol w:w="485"/>
        <w:gridCol w:w="60"/>
        <w:gridCol w:w="60"/>
        <w:gridCol w:w="170"/>
        <w:gridCol w:w="660"/>
        <w:gridCol w:w="60"/>
        <w:gridCol w:w="60"/>
        <w:gridCol w:w="186"/>
        <w:gridCol w:w="854"/>
        <w:gridCol w:w="60"/>
      </w:tblGrid>
      <w:tr>
        <w:trPr/>
        <w:tc>
          <w:tcPr>
            <w:tcW w:w="4385" w:type="dxa"/>
            <w:gridSpan w:val="17"/>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 and Exercisable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8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grants restricted stock under its incentive plans covering shares of common stock to employees and directors of the Company. Significantly all of the restricted stock awards are time-based awards and are amortized ratably over a requisite service period. Time-based awards vest ratably following the grant date, provided the grantee is employed on the vesting dates. Forfeitures of restricted stock awards are recognized as they occur. Restricted stock granted to employees is reduced by shares forfeited to pay withholding tax. Non-vested shares of restricted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common shares outstanding until vesting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changes in non-vested restricted stock awards to all employees and directors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4265"/>
        <w:gridCol w:w="60"/>
        <w:gridCol w:w="60"/>
        <w:gridCol w:w="845"/>
        <w:gridCol w:w="80"/>
        <w:gridCol w:w="60"/>
        <w:gridCol w:w="309"/>
        <w:gridCol w:w="941"/>
        <w:gridCol w:w="60"/>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Weighted-Avg.</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restricted stock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1,450,695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restricted stock as of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$0.5 million and $0.2 million, respectively, of stock compensation expense related to restricted stock grants. Total compensation cost related to non-vested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recognized in the Company’s Condensed Consolidated Statements of Operations as of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was $2.4 million. This cost is expected to be recognized over a weighted 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the Board of Directors of the Company authorized and approved an extension of the ongoing share repurchase program for up to $5.0 million of the outstanding shares of the Company’s common stock originally approved by the Board of Directors on </w:t>
      </w:r>
      <w:r>
        <w:rPr>
          <w:rStyle w:val="Emphasis"/>
          <w:rFonts w:ascii="Times New Roman" w:hAnsi="Times New Roman"/>
          <w:caps w:val="false"/>
          <w:smallCaps w:val="false"/>
          <w:sz w:val="20"/>
        </w:rPr>
        <w:t xml:space="preserve">April 26, 2023 </w:t>
      </w:r>
      <w:r>
        <w:rPr>
          <w:rFonts w:ascii="Times New Roman" w:hAnsi="Times New Roman"/>
          <w:caps w:val="false"/>
          <w:smallCaps w:val="false"/>
          <w:sz w:val="20"/>
        </w:rPr>
        <w:t xml:space="preserve">and extended on </w:t>
      </w:r>
      <w:r>
        <w:rPr>
          <w:rStyle w:val="Emphasis"/>
          <w:rFonts w:ascii="Times New Roman" w:hAnsi="Times New Roman"/>
          <w:caps w:val="false"/>
          <w:smallCaps w:val="false"/>
          <w:sz w:val="20"/>
        </w:rPr>
        <w:t xml:space="preserve">March 19, 2024, </w:t>
      </w:r>
      <w:r>
        <w:rPr>
          <w:rFonts w:ascii="Times New Roman" w:hAnsi="Times New Roman"/>
          <w:caps w:val="false"/>
          <w:smallCaps w:val="false"/>
          <w:sz w:val="20"/>
        </w:rPr>
        <w:t xml:space="preserve">and set to expire on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Subject to any future extension in the discretion of the Board of Directors of the Company, the repurchase program is now scheduled to expire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when a maximum of $5.0 million of the Company’s common stock has been repurchased, or when such program is discontinued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held in treasury or reissued.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the activity in the share repurchase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483" w:type="dxa"/>
        <w:jc w:val="left"/>
        <w:tblInd w:w="0" w:type="dxa"/>
        <w:tblLayout w:type="fixed"/>
        <w:tblCellMar>
          <w:top w:w="0" w:type="dxa"/>
          <w:left w:w="0" w:type="dxa"/>
          <w:bottom w:w="0" w:type="dxa"/>
          <w:right w:w="0" w:type="dxa"/>
        </w:tblCellMar>
      </w:tblPr>
      <w:tblGrid>
        <w:gridCol w:w="2705"/>
        <w:gridCol w:w="60"/>
        <w:gridCol w:w="248"/>
        <w:gridCol w:w="962"/>
        <w:gridCol w:w="119"/>
        <w:gridCol w:w="119"/>
        <w:gridCol w:w="248"/>
        <w:gridCol w:w="962"/>
        <w:gridCol w:w="60"/>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shares repurchased</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asset retirement obligations (“ARO”) associated with the future plugging and abandonment of proved properties. Initially, the fair value of a liability for an ARO is recorded in the period in which the ARO is incurred with a corresponding increase in the carrying amount of the related asset. The liability is accreted to its present value each period and the capitalized cost is depleted over the life of the related asset. If the liability is settled for an amount other than the recorded amount, an adjustment to the full cost pool is recognized. The Company had no assets that are restricted for the purpose of settling ARO.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fair value calculation for the ARO there are a number of assumptions and judgments, including the ultimate retirement cost, inflation factors, credit-adjusted risk-free discount rates, timing of retirement and changes in legal, regulatory, environmental, and political environments. To the extent future revisions to assumptions and judgments impact the present value of the existing ARO, a corresponding adjustment is made to the oil and natural gas property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reconciliation of the changes in the Company’s liabilities for asset retirement obligations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335"/>
        <w:gridCol w:w="60"/>
        <w:gridCol w:w="234"/>
        <w:gridCol w:w="1105"/>
        <w:gridCol w:w="80"/>
        <w:gridCol w:w="60"/>
        <w:gridCol w:w="280"/>
        <w:gridCol w:w="1329"/>
        <w:gridCol w:w="8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18,490</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or incurred</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life revisions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Plugged</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Sold</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Balance,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13,083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 The Company’s effective tax rate was approximately 0% and 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primary difference in the Company’s effective tax rate and the statutory rate for both periods is related to the movement in the valuation allowance against the Company’s net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Deferred taxes are recognized for the expected future tax consequences of temporary differences between the financial statement and tax basis of assets, liabilities, net operating losses and tax credit carry-forwards. We review our deferred tax assets (“DTAs”) and valuation allowance on a quarterly basis. As part of our review, we consider positive and negative evidence, including cumulative results in recent years. An acquisition transaction which closed on </w:t>
      </w:r>
      <w:r>
        <w:rPr>
          <w:rStyle w:val="Emphasis"/>
          <w:rFonts w:ascii="Times New Roman" w:hAnsi="Times New Roman"/>
          <w:caps w:val="false"/>
          <w:smallCaps w:val="false"/>
          <w:sz w:val="20"/>
        </w:rPr>
        <w:t xml:space="preserve"> January 5, 2022 </w:t>
      </w:r>
      <w:r>
        <w:rPr>
          <w:rFonts w:ascii="Times New Roman" w:hAnsi="Times New Roman"/>
          <w:caps w:val="false"/>
          <w:smallCaps w:val="false"/>
          <w:sz w:val="20"/>
        </w:rPr>
        <w:t xml:space="preserve">triggered an Internal Revenue Code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ownership change, and therefore placed additional limitations on the Company’s pre-transaction net operating loss ("NOL") and other tax attributes.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triggering ownership changes under the IRC have occurred since then.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recognizes, measures, and discloses uncertain tax positions whereby tax positions must meet a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to be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had no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net income (loss) per common share is calculated by dividing net income (loss) attributable to common shareholders by the weighted-average number of common shares outstanding for the respective period. Diluted net income per common share is calculated by dividing adjusted net income by the diluted weighted average number of common shares outstanding, which includes the effect of potentially dilutive securities. Potentially dilutive securities for this calculation consist of stock options and unvested shares of restricted common stock, which are measured using the treasury stock method. When the Company recognizes a net loss, all potentially dilutive shares are anti-dilutive and are consequently excluded from the calculation of dilutive net loss per common share. Unvested shares of restricted stock participate in dividend distributions; however,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participate in losses. Therefore, dividends, if any, attributable to participating securities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as a reduction in the calculation of loss attributable to common shareholders.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the calculation of basic and diluted net income (loss)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67" w:type="dxa"/>
        <w:jc w:val="left"/>
        <w:tblInd w:w="0" w:type="dxa"/>
        <w:tblLayout w:type="fixed"/>
        <w:tblCellMar>
          <w:top w:w="0" w:type="dxa"/>
          <w:left w:w="0" w:type="dxa"/>
          <w:bottom w:w="0" w:type="dxa"/>
          <w:right w:w="0" w:type="dxa"/>
        </w:tblCellMar>
      </w:tblPr>
      <w:tblGrid>
        <w:gridCol w:w="4415"/>
        <w:gridCol w:w="60"/>
        <w:gridCol w:w="231"/>
        <w:gridCol w:w="1096"/>
        <w:gridCol w:w="148"/>
        <w:gridCol w:w="110"/>
        <w:gridCol w:w="231"/>
        <w:gridCol w:w="1096"/>
        <w:gridCol w:w="8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8"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32,725</w:t>
            </w:r>
          </w:p>
        </w:tc>
        <w:tc>
          <w:tcPr>
            <w:tcW w:w="148"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potentially dilutive securities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8"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32,725</w:t>
            </w:r>
          </w:p>
        </w:tc>
        <w:tc>
          <w:tcPr>
            <w:tcW w:w="148"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potentially dilutive securities excluded from the calculation of weighted average shares because they were anti-dilutive were as follows:</w:t>
      </w:r>
    </w:p>
    <w:p>
      <w:pPr>
        <w:pStyle w:val="TextBody"/>
        <w:bidi w:val="0"/>
        <w:spacing w:before="0" w:after="0"/>
        <w:ind w:left="0" w:right="0" w:hanging="0"/>
        <w:jc w:val="both"/>
        <w:rPr>
          <w:caps w:val="false"/>
          <w:smallCaps w:val="false"/>
        </w:rPr>
      </w:pPr>
      <w:r>
        <w:rPr>
          <w:caps w:val="false"/>
          <w:smallCaps w:val="false"/>
        </w:rPr>
        <w:t> </w:t>
      </w:r>
    </w:p>
    <w:tbl>
      <w:tblPr>
        <w:tblW w:w="5586" w:type="dxa"/>
        <w:jc w:val="left"/>
        <w:tblInd w:w="0" w:type="dxa"/>
        <w:tblLayout w:type="fixed"/>
        <w:tblCellMar>
          <w:top w:w="0" w:type="dxa"/>
          <w:left w:w="0" w:type="dxa"/>
          <w:bottom w:w="0" w:type="dxa"/>
          <w:right w:w="0" w:type="dxa"/>
        </w:tblCellMar>
      </w:tblPr>
      <w:tblGrid>
        <w:gridCol w:w="2810"/>
        <w:gridCol w:w="60"/>
        <w:gridCol w:w="131"/>
        <w:gridCol w:w="1066"/>
        <w:gridCol w:w="131"/>
        <w:gridCol w:w="131"/>
        <w:gridCol w:w="131"/>
        <w:gridCol w:w="106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of restricted stock</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fair value measurements are estimated pursuant to a fair value hierarchy that requires us to maximize the use of observable inputs and minimize the use of unobservable inputs when measuring fair value. The valuation hierarchy is based upon the transparency of inputs to the valuation of an asset or liability as of the measurement date, giving highest priority to quoted prices in active markets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the lowest priority to unobservable data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 some cases, the inputs used to measure fair value might fall in different levels of the fair value hierarchy. The lowest level input that is significant to a fair value measurement in its entirety determines the applicable level in the fair value hierarchy. Assessing the significance of a particular input to the fair value measurement in its entirety requires judgment, considering factors specific to the asset or liability,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the valuation of the assets and liabilities and their placement within the hierarchy level.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 are defined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Quoted prices for identical assets and liabilities traded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directly or indirectly observable for the asset or liability, including quoted prices for similar assets or liabilities in active markets, quoted prices for identical or similar assets or liabilities in active markets, or other observable inputs that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 following is a description of the valuation methodologies used for complex financial instruments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Marketable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measure the fair value of marketable equity securities based on quoted market prices obtained from independent pricing services. The Company has an investment in the marketable equity securities of Anfield Energy (“Anfield”), which it acquired as consideration for sales of certain mining operations. Anfield is traded in an active market under the trading symbol AEC:TSXV and has been classified as Level </w:t>
      </w:r>
      <w:r>
        <w:rPr>
          <w:rStyle w:val="Emphasis"/>
          <w:rFonts w:ascii="Times New Roman" w:hAnsi="Times New Roman"/>
          <w:caps w:val="false"/>
          <w:smallCaps w:val="false"/>
          <w:sz w:val="20"/>
        </w:rPr>
        <w:t>1.</w:t>
      </w:r>
    </w:p>
    <w:p>
      <w:pPr>
        <w:pStyle w:val="TextBody"/>
        <w:bidi w:val="0"/>
        <w:spacing w:before="0" w:after="0"/>
        <w:ind w:left="0" w:right="0" w:hanging="0"/>
        <w:jc w:val="left"/>
        <w:rPr>
          <w:caps w:val="false"/>
          <w:smallCaps w:val="false"/>
        </w:rPr>
      </w:pPr>
      <w:r>
        <w:rPr>
          <w:caps w:val="false"/>
          <w:smallCaps w:val="false"/>
        </w:rPr>
        <w:t> </w:t>
      </w:r>
    </w:p>
    <w:tbl>
      <w:tblPr>
        <w:tblW w:w="6593" w:type="dxa"/>
        <w:jc w:val="left"/>
        <w:tblInd w:w="0" w:type="dxa"/>
        <w:tblLayout w:type="fixed"/>
        <w:tblCellMar>
          <w:top w:w="0" w:type="dxa"/>
          <w:left w:w="0" w:type="dxa"/>
          <w:bottom w:w="0" w:type="dxa"/>
          <w:right w:w="0" w:type="dxa"/>
        </w:tblCellMar>
      </w:tblPr>
      <w:tblGrid>
        <w:gridCol w:w="3365"/>
        <w:gridCol w:w="60"/>
        <w:gridCol w:w="172"/>
        <w:gridCol w:w="1167"/>
        <w:gridCol w:w="80"/>
        <w:gridCol w:w="60"/>
        <w:gridCol w:w="207"/>
        <w:gridCol w:w="1402"/>
        <w:gridCol w:w="8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Marketable equity securities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owned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2,421,180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Quoted market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0.06256</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 Value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0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151,475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Estimated cost to sell shares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0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(20,000</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of marketable equity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131,475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approximates fair value because the interest rate is variable and reflective of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value of financial instruments included in current assets and current liabilities approximate fair value due to the short-term nature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measures the fair value of asset retirement obligations as of the date a well is acquired, the date a well begins drilling, or the date the Company revises its ARO assumptions. The Company’s estimated AROs are based on historical experience in plugging and abandoning wells, estimated economic lives, estimated plugging and abandonment costs and federal and state regulatory requirements, all unobservable inputs, and therefore, are designated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valuation hierarchy. The liability is discounted using the credit-adjusted risk-free rate estimated at the time the liability is incurred or revised upwards. The credit adjusted risk-free rate used to discount the Company’s plugging and abandonment liabilities range from 7.30% to 19.00%. See </w:t>
      </w:r>
      <w:r>
        <w:rPr>
          <w:rFonts w:ascii="Times New Roman" w:hAnsi="Times New Roman"/>
          <w:i/>
          <w:caps w:val="false"/>
          <w:smallCaps w:val="false"/>
          <w:sz w:val="20"/>
        </w:rPr>
        <w:t xml:space="preserve">Note </w:t>
      </w:r>
      <w:r>
        <w:rPr>
          <w:rStyle w:val="Emphasis"/>
          <w:rFonts w:ascii="Times New Roman" w:hAnsi="Times New Roman"/>
          <w:i/>
          <w:caps w:val="false"/>
          <w:smallCaps w:val="false"/>
          <w:sz w:val="20"/>
        </w:rPr>
        <w:t>10</w:t>
      </w:r>
      <w:r>
        <w:rPr>
          <w:rFonts w:ascii="Times New Roman" w:hAnsi="Times New Roman"/>
          <w:caps w:val="false"/>
          <w:smallCaps w:val="false"/>
          <w:sz w:val="20"/>
        </w:rPr>
        <w:t>-</w:t>
      </w:r>
      <w:r>
        <w:rPr>
          <w:rFonts w:ascii="Times New Roman" w:hAnsi="Times New Roman"/>
          <w:i/>
          <w:caps w:val="false"/>
          <w:smallCaps w:val="false"/>
          <w:sz w:val="20"/>
        </w:rPr>
        <w:t>Asset Retirement 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OTHER CURRENT ASSETS AND ACCOUNTS PAYABLE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components of other current assets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5818" w:type="dxa"/>
        <w:jc w:val="left"/>
        <w:tblInd w:w="0" w:type="dxa"/>
        <w:tblLayout w:type="fixed"/>
        <w:tblCellMar>
          <w:top w:w="0" w:type="dxa"/>
          <w:left w:w="0" w:type="dxa"/>
          <w:bottom w:w="0" w:type="dxa"/>
          <w:right w:w="0" w:type="dxa"/>
        </w:tblCellMar>
      </w:tblPr>
      <w:tblGrid>
        <w:gridCol w:w="2630"/>
        <w:gridCol w:w="60"/>
        <w:gridCol w:w="363"/>
        <w:gridCol w:w="976"/>
        <w:gridCol w:w="60"/>
        <w:gridCol w:w="60"/>
        <w:gridCol w:w="436"/>
        <w:gridCol w:w="1173"/>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Joint interest billings receivable</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Payable and Accrued Liabilities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components of accounts payable and accrued liabilities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8053" w:type="dxa"/>
        <w:jc w:val="left"/>
        <w:tblInd w:w="0" w:type="dxa"/>
        <w:tblLayout w:type="fixed"/>
        <w:tblCellMar>
          <w:top w:w="0" w:type="dxa"/>
          <w:left w:w="0" w:type="dxa"/>
          <w:bottom w:w="0" w:type="dxa"/>
          <w:right w:w="0" w:type="dxa"/>
        </w:tblCellMar>
      </w:tblPr>
      <w:tblGrid>
        <w:gridCol w:w="4865"/>
        <w:gridCol w:w="60"/>
        <w:gridCol w:w="274"/>
        <w:gridCol w:w="1065"/>
        <w:gridCol w:w="60"/>
        <w:gridCol w:w="60"/>
        <w:gridCol w:w="329"/>
        <w:gridCol w:w="1280"/>
        <w:gridCol w:w="60"/>
      </w:tblGrid>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2,197</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 and oil and natural gas property accruals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2,417</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Payable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 payable</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SUPPLEMENTAL DISCLOSURES OF CASH FLOW INFORMATION</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5240"/>
        <w:gridCol w:w="60"/>
        <w:gridCol w:w="250"/>
        <w:gridCol w:w="1090"/>
        <w:gridCol w:w="160"/>
        <w:gridCol w:w="120"/>
        <w:gridCol w:w="250"/>
        <w:gridCol w:w="790"/>
        <w:gridCol w:w="80"/>
      </w:tblGrid>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for income taxes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acquisition of industrial gas properties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(2,632</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 for repurchase of common stock</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Expected Write-Down of Oil and Natural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the full-cost method of accounting, the net book value of proved oil and natural gas properties, less related deferred income taxes,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exceed a calculated “ceiling.” The ceiling limitation is the estimated after-tax future net cash flows from proved oil and natural gas reserves. Estimated future net cash flows are calculated using the unweighted arithmetic average of commodity prices in effect on the </w:t>
      </w:r>
      <w:r>
        <w:rPr>
          <w:rStyle w:val="Emphasis"/>
          <w:rFonts w:ascii="Times New Roman" w:hAnsi="Times New Roman"/>
          <w:caps w:val="false"/>
          <w:smallCaps w:val="false"/>
          <w:sz w:val="20"/>
        </w:rPr>
        <w:t>first</w:t>
      </w:r>
      <w:r>
        <w:rPr>
          <w:rFonts w:ascii="Times New Roman" w:hAnsi="Times New Roman"/>
          <w:caps w:val="false"/>
          <w:smallCaps w:val="false"/>
          <w:sz w:val="20"/>
        </w:rPr>
        <w:t> day of each of the previous </w:t>
      </w:r>
      <w:r>
        <w:rPr>
          <w:rStyle w:val="Emphasis"/>
          <w:rFonts w:ascii="Times New Roman" w:hAnsi="Times New Roman"/>
          <w:caps w:val="false"/>
          <w:smallCaps w:val="false"/>
          <w:sz w:val="20"/>
        </w:rPr>
        <w:t>12</w:t>
      </w:r>
      <w:r>
        <w:rPr>
          <w:rFonts w:ascii="Times New Roman" w:hAnsi="Times New Roman"/>
          <w:caps w:val="false"/>
          <w:smallCaps w:val="false"/>
          <w:sz w:val="20"/>
        </w:rPr>
        <w:t> months, adjusted for location and quality differentials, held flat for the life of the production (except where prices are defined by contractual arrangements), less estimated operating costs, production taxes and future development costs, all discounted at </w:t>
      </w:r>
      <w:r>
        <w:rPr>
          <w:rStyle w:val="Emphasis"/>
          <w:rFonts w:ascii="Times New Roman" w:hAnsi="Times New Roman"/>
          <w:caps w:val="false"/>
          <w:smallCaps w:val="false"/>
          <w:sz w:val="20"/>
        </w:rPr>
        <w:t>10</w:t>
      </w:r>
      <w:r>
        <w:rPr>
          <w:rFonts w:ascii="Times New Roman" w:hAnsi="Times New Roman"/>
          <w:caps w:val="false"/>
          <w:smallCaps w:val="false"/>
          <w:sz w:val="20"/>
        </w:rPr>
        <w:t> percent per annum. Future cash outflows associated with settling accrued asset retirement obligations are excluded from the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did not incur a ceiling test write-down of our oil and natural gas properties. We expect to record a further write-down of our oil and natural gas properties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due to lower commodity prices used in the calculation of the ceiling test as higher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commodity prices will be removed from the ceiling test calculation and replaced with what we expect to be lower </w:t>
      </w:r>
      <w:r>
        <w:rPr>
          <w:rStyle w:val="Emphasis"/>
          <w:rFonts w:ascii="Times New Roman" w:hAnsi="Times New Roman"/>
          <w:caps w:val="false"/>
          <w:smallCaps w:val="false"/>
          <w:sz w:val="20"/>
        </w:rPr>
        <w:t>second</w:t>
      </w:r>
      <w:r>
        <w:rPr>
          <w:rFonts w:ascii="Times New Roman" w:hAnsi="Times New Roman"/>
          <w:caps w:val="false"/>
          <w:smallCaps w:val="false"/>
          <w:sz w:val="20"/>
        </w:rPr>
        <w:t> quarter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commodity prices. Depending on actual commodity prices, estimated price differentials, lease operating costs, revisions to reserve estimates, and the amount and timing of capital expenditures, the write-down could be approximately $7.0 million to $8.0 million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information should be read in conjunction with the interim unaudited Condensed Consolidated Financial Statements and the notes thereto included in this Quarterly Report on Form 10-Q, and the audited Consolidated Financial Statements and notes thereto and “Management’s Discussion and Analysis of Financial Condition and Results of Operations” contained in our Annual Report on Form 10-K for the year ended December 31, 2024, filed with the Securities and Exchange Commission on March 13, 2025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Certain abbreviations and oil and gas industry terms used throughout this Report are described and defined in greater detail under “Glossary of Oil and Natural Gas Terms” on page </w:t>
      </w:r>
      <w:hyperlink w:anchor="partonefininfo">
        <w:r>
          <w:rPr>
            <w:rStyle w:val="InternetLink"/>
            <w:rFonts w:ascii="Times New Roman" w:hAnsi="Times New Roman"/>
            <w:caps w:val="false"/>
            <w:smallCaps w:val="false"/>
            <w:sz w:val="20"/>
            <w:u w:val="single"/>
          </w:rPr>
          <w:t>4</w:t>
        </w:r>
      </w:hyperlink>
      <w:r>
        <w:rPr>
          <w:rFonts w:ascii="Times New Roman" w:hAnsi="Times New Roman"/>
          <w:caps w:val="false"/>
          <w:smallCaps w:val="false"/>
          <w:sz w:val="20"/>
        </w:rPr>
        <w:t xml:space="preserve">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capitalized terms used below and otherwise defined below, have the meanings given to such terms in the footnotes to our unaudited Condensed Consolidated Financial Statements included above under “Part I - Financial Information” – “Item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Quarterly Report on Form 10-Q, we may rely on and refer to information regarding the industries in which we operate in general from market research reports, analyst reports and other publicly available information. Although we believe that this information is reliable, we cannot guarantee the accuracy and completeness of this information, we have not independently verified any of it, and we have not commissioned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also “Cautionary Statement About “Forward-Looking Statements”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the context requires otherwise, references to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we,</w:t>
      </w:r>
      <w:r>
        <w:rPr>
          <w:rFonts w:ascii="Times New Roman" w:hAnsi="Times New Roman"/>
          <w:caps w:val="false"/>
          <w:smallCaps w:val="false"/>
          <w:sz w:val="20"/>
        </w:rPr>
        <w:t>” “</w:t>
      </w:r>
      <w:r>
        <w:rPr>
          <w:rFonts w:ascii="Times New Roman" w:hAnsi="Times New Roman"/>
          <w:caps w:val="false"/>
          <w:smallCaps w:val="false"/>
          <w:sz w:val="20"/>
          <w:u w:val="single"/>
        </w:rPr>
        <w:t>us,</w:t>
      </w:r>
      <w:r>
        <w:rPr>
          <w:rFonts w:ascii="Times New Roman" w:hAnsi="Times New Roman"/>
          <w:caps w:val="false"/>
          <w:smallCaps w:val="false"/>
          <w:sz w:val="20"/>
        </w:rPr>
        <w:t>” “</w:t>
      </w:r>
      <w:r>
        <w:rPr>
          <w:rFonts w:ascii="Times New Roman" w:hAnsi="Times New Roman"/>
          <w:caps w:val="false"/>
          <w:smallCaps w:val="false"/>
          <w:sz w:val="20"/>
          <w:u w:val="single"/>
        </w:rPr>
        <w:t>our,</w:t>
      </w:r>
      <w:r>
        <w:rPr>
          <w:rFonts w:ascii="Times New Roman" w:hAnsi="Times New Roman"/>
          <w:caps w:val="false"/>
          <w:smallCaps w:val="false"/>
          <w:sz w:val="20"/>
        </w:rPr>
        <w:t>” “</w:t>
      </w:r>
      <w:r>
        <w:rPr>
          <w:rFonts w:ascii="Times New Roman" w:hAnsi="Times New Roman"/>
          <w:caps w:val="false"/>
          <w:smallCaps w:val="false"/>
          <w:sz w:val="20"/>
          <w:u w:val="single"/>
        </w:rPr>
        <w:t>U.S. Energy</w:t>
      </w:r>
      <w:r>
        <w:rPr>
          <w:rFonts w:ascii="Times New Roman" w:hAnsi="Times New Roman"/>
          <w:caps w:val="false"/>
          <w:smallCaps w:val="false"/>
          <w:sz w:val="20"/>
        </w:rPr>
        <w:t>”, and “</w:t>
      </w:r>
      <w:r>
        <w:rPr>
          <w:rFonts w:ascii="Times New Roman" w:hAnsi="Times New Roman"/>
          <w:caps w:val="false"/>
          <w:smallCaps w:val="false"/>
          <w:sz w:val="20"/>
          <w:u w:val="single"/>
        </w:rPr>
        <w:t>U.S. Energy Corp.</w:t>
      </w:r>
      <w:r>
        <w:rPr>
          <w:rFonts w:ascii="Times New Roman" w:hAnsi="Times New Roman"/>
          <w:caps w:val="false"/>
          <w:smallCaps w:val="false"/>
          <w:sz w:val="20"/>
        </w:rPr>
        <w:t>” refer specifically to U.S. Energy Corp.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unless the context otherwise requires and for the purposes of this report only: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Bbl” refers to one stock tank barrel, or 42 U.S. gallons liquid volume, used in this report in reference to crude oil or other liquid hydrocarbons;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BOE” refers to barrels of oil equivalent, determined using the ratio of one Bbl of crude oil, condensate, or natural gas liquids, to six Mcf of natural gas;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Bopd” refers to barrels of oil per day;</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"Industrial gases" refers to helium, carbon dioxide, nitrogen and hydrocarbons;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Mcf” refers to a thousand cubic feet of natural gas;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Mcfe” means 1,000 cubic feet equivalent, determined using the ratio of six Mcf of natural gas to one Bbl of crude oil, condensate or natural gas liquids;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NGL” refers to natural gas liquids;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Exchange Act” refers to the Securities Exchange Act of 1934, as amended;</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SEC” or the “Commission” refers to the United States Securities and Exchange Commission;</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Securities Act” refers to the Securities Act of 1933, as amended; and</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WTI” means West Texas Intermediate.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Where You Can Find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like us at </w:t>
      </w:r>
      <w:r>
        <w:rPr>
          <w:rFonts w:ascii="Times New Roman" w:hAnsi="Times New Roman"/>
          <w:caps w:val="false"/>
          <w:smallCaps w:val="false"/>
          <w:sz w:val="20"/>
          <w:u w:val="single"/>
        </w:rPr>
        <w:t>https://www.sec.gov</w:t>
      </w:r>
      <w:r>
        <w:rPr>
          <w:rFonts w:ascii="Times New Roman" w:hAnsi="Times New Roman"/>
          <w:caps w:val="false"/>
          <w:smallCaps w:val="false"/>
          <w:sz w:val="20"/>
        </w:rPr>
        <w:t xml:space="preserve"> (our filings can be found at </w:t>
      </w:r>
      <w:r>
        <w:rPr>
          <w:rFonts w:ascii="Times New Roman" w:hAnsi="Times New Roman"/>
          <w:caps w:val="false"/>
          <w:smallCaps w:val="false"/>
          <w:sz w:val="20"/>
          <w:u w:val="single"/>
        </w:rPr>
        <w:t>https://www.sec.gov/cgi-bin/browse-edgar?action=getcompany&amp;CIK=0000101594</w:t>
      </w:r>
      <w:r>
        <w:rPr>
          <w:rFonts w:ascii="Times New Roman" w:hAnsi="Times New Roman"/>
          <w:caps w:val="false"/>
          <w:smallCaps w:val="false"/>
          <w:sz w:val="20"/>
        </w:rPr>
        <w:t>) and on the “</w:t>
      </w:r>
      <w:r>
        <w:rPr>
          <w:rFonts w:ascii="Times New Roman" w:hAnsi="Times New Roman"/>
          <w:caps w:val="false"/>
          <w:smallCaps w:val="false"/>
          <w:sz w:val="20"/>
          <w:u w:val="single"/>
        </w:rPr>
        <w:t>Investors – SEC Filings</w:t>
      </w:r>
      <w:r>
        <w:rPr>
          <w:rFonts w:ascii="Times New Roman" w:hAnsi="Times New Roman"/>
          <w:caps w:val="false"/>
          <w:smallCaps w:val="false"/>
          <w:sz w:val="20"/>
        </w:rPr>
        <w:t xml:space="preserve">” page of our website at </w:t>
      </w:r>
      <w:r>
        <w:rPr>
          <w:rFonts w:ascii="Times New Roman" w:hAnsi="Times New Roman"/>
          <w:caps w:val="false"/>
          <w:smallCaps w:val="false"/>
          <w:sz w:val="20"/>
          <w:u w:val="single"/>
        </w:rPr>
        <w:t>https://usnrg.com</w:t>
      </w:r>
      <w:r>
        <w:rPr>
          <w:rFonts w:ascii="Times New Roman" w:hAnsi="Times New Roman"/>
          <w:caps w:val="false"/>
          <w:smallCaps w:val="false"/>
          <w:sz w:val="20"/>
        </w:rPr>
        <w:t>. Copies of documents filed by us with the SEC are also available from us without charge, upon oral or written request to our Secretary, who can be contacted at the address and telephone number set forth on the cover page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Summary of The Information Contained in 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Management’s Discussion and Analysis of Financial Condition and Results of Operations (MD&amp;A) is provided in addition to the accompanying unaudited Condensed Consolidated Financial Statements and notes to assist readers in understanding our results of operations, financial condition, and cash flows. MD&amp;A is organized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General Overview</w:t>
            </w:r>
            <w:r>
              <w:rPr>
                <w:rFonts w:ascii="Times New Roman;Times;serif" w:hAnsi="Times New Roman;Times;serif"/>
                <w:caps w:val="false"/>
                <w:smallCaps w:val="false"/>
                <w:sz w:val="20"/>
              </w:rPr>
              <w:t>. A general overview of the Company and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Recent Developments</w:t>
            </w:r>
            <w:r>
              <w:rPr>
                <w:rFonts w:ascii="Times New Roman;Times;serif" w:hAnsi="Times New Roman;Times;serif"/>
                <w:caps w:val="false"/>
                <w:smallCaps w:val="false"/>
                <w:sz w:val="20"/>
              </w:rPr>
              <w:t>. Discussion of recent developments affecting the Company and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Plan of Operations and Strategy</w:t>
            </w:r>
            <w:r>
              <w:rPr>
                <w:rFonts w:ascii="Times New Roman;Times;serif" w:hAnsi="Times New Roman;Times;serif"/>
                <w:caps w:val="false"/>
                <w:smallCaps w:val="false"/>
                <w:sz w:val="20"/>
              </w:rPr>
              <w:t>. Discussion of our strategy moving forward and how we plan to seek to increase stockholder value.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Critical Accounting Policies and Estimates</w:t>
            </w:r>
            <w:r>
              <w:rPr>
                <w:rFonts w:ascii="Times New Roman;Times;serif" w:hAnsi="Times New Roman;Times;serif"/>
                <w:caps w:val="false"/>
                <w:smallCaps w:val="false"/>
                <w:sz w:val="20"/>
              </w:rPr>
              <w:t>. Accounting estimates that we believe are important to understanding the assumptions and judgments incorporated in our reported financial results and forecasts.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Results of Operations</w:t>
            </w:r>
            <w:r>
              <w:rPr>
                <w:rFonts w:ascii="Times New Roman;Times;serif" w:hAnsi="Times New Roman;Times;serif"/>
                <w:caps w:val="false"/>
                <w:smallCaps w:val="false"/>
                <w:sz w:val="20"/>
              </w:rPr>
              <w:t>. An analysis of our financial results comparing the three months ended March 31, 2025 and 2024.</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Liquidity and Capital Resources</w:t>
            </w:r>
            <w:r>
              <w:rPr>
                <w:rFonts w:ascii="Times New Roman;Times;serif" w:hAnsi="Times New Roman;Times;serif"/>
                <w:caps w:val="false"/>
                <w:smallCaps w:val="false"/>
                <w:sz w:val="20"/>
              </w:rPr>
              <w:t>. A discussion of our financial condition, including descriptions of balance sheet information and cash 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Energy Corp. (collectively with its wholly-owned subsidiaries, Energy One LLC (“Energy One”), New Horizon Resources LLC (“New Horizon Resources”) and Coyote Resources LLC ("Coyote Resources"), which was formed on August 6, 2024, are referred to as the “Company”) is incorporated in the State of Delaware. The Company’s principal business activities are focused on the acquisition, exploration, and development of industrial gases, oil and natural gas properties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Synergy </w:t>
      </w:r>
      <w:r>
        <w:rPr>
          <w:rFonts w:ascii="Times New Roman" w:hAnsi="Times New Roman"/>
          <w:caps w:val="false"/>
          <w:smallCaps w:val="false"/>
          <w:sz w:val="20"/>
        </w:rPr>
        <w:t xml:space="preserve">– </w:t>
      </w:r>
      <w:r>
        <w:rPr>
          <w:rFonts w:ascii="Times New Roman" w:hAnsi="Times New Roman"/>
          <w:b/>
          <w:i/>
          <w:caps w:val="false"/>
          <w:smallCaps w:val="false"/>
          <w:sz w:val="20"/>
        </w:rPr>
        <w:t>acquisition of industrial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7, 2025, we entered and simultaneously closed the transactions contemplated by, a purchase and sale agreement, with Synergy Offshore LLC (“Synergy”). Synergy is controlled by Mr. Duane H. King, a member of the Board of Directors of the Company, who serves as the Chief Executive Officer and Manager of Synergy, and John A. Weinzierl, the Company’s Chairman, who is an approximate sixty percent beneficial owner of Synergy.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acquired approximately 24,000 net operated acres located across the Kevin Dome structure in Toole County, Montana, including all leases, wells, rights and interests in, under or derived from the acquired acreage subject to Synergy retaining an undivided twenty percent (20%) of Synergy’s right title and interest in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Consideration for the transaction consisted of the following: (a) $2.0 million in cash, subject to customary adjustments; (b) 1,400,000 shares of the Company’s common stock; (c) a carried working interest whereby the Company agreed to cover and pay for 100% of Synergy’s costs attributable to the Synergy acreage, until the earlier of (i) 78 months from the closing date; or (ii) the date the total costs associated therewith total $20 million; (d) our agreement to pay Synergy 18% of the cash amounts we actually realize from any law or regulation from our sequestration of carbon oxides or similar substances derived directly from an agreed area of mutual interest including Synergy’s acreage; and (e) our agreement to pay Synergy 18% of the gain we may receive in connection with the sale of the future, first, gas processing plant located on Synergy’s acreage.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22, 2025, the Company entered into an underwriting agreement (the “Underwriting Agreement”) with Roth Capital Partners, LLC (the “Representative”), as representative of the several underwriters named in the Underwriting Agreement (the “Underwriters”), relating to an underwritten offering of 4,871,400 shares of common stock, at a price to the public of $2.65 per share (such offering,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sale of 4,871,400 shares of common stock (including the full 635,400 Option) in connection with the Offering, closed on January 23, 2025. The Company generated approximately $11.9 million of net proceeds from the Offering, after deducting the underwriting discounts and commissions and offering costs payable by us, which we expect to use for the development of our recent acquisition in Montana, general corporate purposes, and working capital, or for other purposes that our board of directors, in their good faith, deems to be in the best interest of the Company. Additionally, management, pursuant to the terms of the Underwriting Agreement, used $1.574 million from the Option exercise to purchase shares of common stock from Sage Road Capital, LLC (a current shareholder of the Company whose co-manager is Joshua L. Batchelor, a then member of the Board of Directors of the Company) or its affiliates at a price up to the public offering price of the Offering, less underwriting discounts, which sale took place in January 2025,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Related Party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Share Repurchase Agreement, the Company, in a private transaction, outside of, and separate from the Company’s previously disclosed share repurchase program, on January 27, 2025, repurchased (a) 534,020 shares of common stock held by Banner, (b) 41,229 shares of common stock held by Woodford, and (c) 60,151 shares of common stock held by Sage Road, for an aggregate of $1.574 million or approximately $2.48 per share, which is the net price per share of the 4,871,400 shares of common stock which we sold in our underwritten public offering which closed on January 23, 2025, less underwriting discounts and commissions, and which represented an 8.2% premium to the closing sales price of the Company’s common stock on January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 repurchase program was approved by the disinterested members of the Board of Directors of the Company, as well as the Company’s Audit Committee, comprised solely of independent directors not affiliated with Mr. Batchelor or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29, 2025, the Board of Directors of the Company authorized and approved an extension of the ongoing share repurchase program for up to $5.0 million of the currently outstanding shares of the Company’s common stock originally approved by the Board of Directors on April 26, 2023 and extended on March 19, 2024, and set to expire on June 30, 2025.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stock repurchase program, shares may be repurchased from time to time in the open market or through negotiated transactions at prevailing market prices, or by other means in accordance with federal securities laws. Repurchases will be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will be funded using the Company’s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the Company repurchased 125,600 shares for $0.23 million, at a weighted average price of $1.87 per share. During the three months ended March 31, 2024 the Company repurchased 318,200 shares for $0.34 million at a weighted average price of $1.06 per share. As of March 31, 2025, a total of $3.6 million remained available under the repurchase program for future repurchases.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Full Cost Method Ceiling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reserves used in the ceiling test incorporate assumptions regarding pricing and discount rates over which management has no influence in the determination of present value. In the calculation of the ceiling test as of March 31, 2025, the Company used $74.52 per barrel for oil and $2.44 per one million British Thermal Units (MMbtu) for natural gas (as further adjusted for property, specific gravity, quality, local markets and distance from markets) to compute the future cash flows of the Company’s producing properties. The discount factor used was 10%. The Company did not incur a ceiling test write-down of its oil and natural gas properties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to record a further write-down of our oil and natural gas properties in the second quarter of 2025 due to lower commodity prices used in the calculation of the ceiling test. Depending on actual commodity prices, estimated price differentials, lease operating costs, revisions to reserve estimates, and the amount and timing of capital expenditures, the write-down could be approximately $7.0 million to $8.0 million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Plan of Operations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remainder of 2025 and beyond, we intend to seek additional opportunities in the oil, natural gas and industrial gas sectors, including but not limited to further acquisition of assets, participation with industry partners in exploration and development projects, acquisition of existing companies, and the purchase of other industrial gas assets. We plan to continue to monetize legacy assets and redeploy capital into our core focus areas. During the first half of 2025 we intend to complete two wells and drill two additional new wells targeting an industrial gas zone. Share repurchases under our approved share repurchase program continued in the first quarter of 2025, and the Board of Directors has extended the share repurchase program until June 30, 2026. These repurchases may continue so long as share prices remain attractive and repurchases remain in the best interests of both the Company and its stockholders.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elements of our business strategy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Deploy our Capital in a Conservative and Strategic Manner and Review Opportunities to Bolster our Liquidity</w:t>
            </w:r>
            <w:r>
              <w:rPr>
                <w:rFonts w:ascii="Times New Roman;Times;serif" w:hAnsi="Times New Roman;Times;serif"/>
                <w:caps w:val="false"/>
                <w:smallCaps w:val="false"/>
                <w:sz w:val="20"/>
              </w:rPr>
              <w:t>. In the current industry environment, maintaining liquidity is critical. Therefore, we plan to be highly selective in the projects we evaluate and to review opportunities to bolster our liquidity and financial position through various 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Evaluate and Pursue Value-Enhancing Transactions</w:t>
            </w:r>
            <w:r>
              <w:rPr>
                <w:rFonts w:ascii="Times New Roman;Times;serif" w:hAnsi="Times New Roman;Times;serif"/>
                <w:caps w:val="false"/>
                <w:smallCaps w:val="false"/>
                <w:sz w:val="20"/>
              </w:rPr>
              <w:t>. We plan to continuously evaluate strategic alternative opportunities with the goal of enhancing stockholder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preparation of our unaudited Condensed Consolidated Financial Statements in conformity with generally accepted accounting principles in the United States (“GAAP”) requires us to make assumptions and estimates that affect the reported amounts of assets, liabilities, revenues and expenses, as well as the disclosure of contingent assets and liabilities at the date of our financial statements and the reported amounts of revenues and expenses during the reporting period. Actual results may differ from these estimates under different assumptions or conditions. A summary of our significant accounting policies is detailed in </w:t>
      </w:r>
      <w:r>
        <w:rPr>
          <w:rFonts w:ascii="Times New Roman" w:hAnsi="Times New Roman"/>
          <w:i/>
          <w:caps w:val="false"/>
          <w:smallCaps w:val="false"/>
          <w:sz w:val="20"/>
        </w:rPr>
        <w:t xml:space="preserve">Part II, Item 7 </w:t>
      </w:r>
      <w:r>
        <w:rPr>
          <w:rFonts w:ascii="Times New Roman" w:hAnsi="Times New Roman"/>
          <w:caps w:val="false"/>
          <w:smallCaps w:val="false"/>
          <w:sz w:val="20"/>
        </w:rPr>
        <w:t xml:space="preserve">–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w:t>
      </w:r>
      <w:r>
        <w:rPr>
          <w:rFonts w:ascii="Times New Roman" w:hAnsi="Times New Roman"/>
          <w:caps w:val="false"/>
          <w:smallCaps w:val="false"/>
          <w:sz w:val="20"/>
        </w:rPr>
        <w:t>of our 2024 Annual Report on Form 10-K filed with the SEC on 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our Statements of Operations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For the Three Months Ended March 31, 2025, we recorded a net loss of $3.1 million, which was primarily due to declining commodity prices and lower production, resulting in reduced revenue for the period, which was also affected by property sales. In the following sections, we discuss our revenue, operating expenses, and other income (expense) for the three months ended March 31, 2025 compared to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 </w:t>
      </w:r>
      <w:r>
        <w:rPr>
          <w:rFonts w:ascii="Times New Roman" w:hAnsi="Times New Roman"/>
          <w:caps w:val="false"/>
          <w:smallCaps w:val="false"/>
          <w:sz w:val="20"/>
        </w:rPr>
        <w:t>Presented below is a comparison of our oil and natural gas sales, production quantities and average sales prices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tbl>
      <w:tblPr>
        <w:tblW w:w="7881" w:type="dxa"/>
        <w:jc w:val="left"/>
        <w:tblInd w:w="0" w:type="dxa"/>
        <w:tblLayout w:type="fixed"/>
        <w:tblCellMar>
          <w:top w:w="0" w:type="dxa"/>
          <w:left w:w="0" w:type="dxa"/>
          <w:bottom w:w="0" w:type="dxa"/>
          <w:right w:w="0" w:type="dxa"/>
        </w:tblCellMar>
      </w:tblPr>
      <w:tblGrid>
        <w:gridCol w:w="2480"/>
        <w:gridCol w:w="60"/>
        <w:gridCol w:w="214"/>
        <w:gridCol w:w="1198"/>
        <w:gridCol w:w="103"/>
        <w:gridCol w:w="103"/>
        <w:gridCol w:w="214"/>
        <w:gridCol w:w="1198"/>
        <w:gridCol w:w="68"/>
        <w:gridCol w:w="68"/>
        <w:gridCol w:w="143"/>
        <w:gridCol w:w="866"/>
        <w:gridCol w:w="91"/>
        <w:gridCol w:w="68"/>
        <w:gridCol w:w="130"/>
        <w:gridCol w:w="632"/>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9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4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6"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average prices and production quantities)</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1,770</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Production quantities: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(Bbls)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29,994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(38,605</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102,088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247,209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(145,121</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47,008</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(62,792</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BOE/Day</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1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Average sales prices: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(Bbls)</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46.65</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our oil and natural gas revenue of $3.2 million for the three months ended March 31, 2025, as compared to the three months ended March 31, 2024, was primarily due to a decrease of 57% in production quantities and a decrease in realized commodity pricing of 5% on a per barrel of oil equivalent (BOE) basis. For the three months ended March 31, 2025, we produced 47,008 BOE, or an average of 522 BOE per day, as compared to 109,800 BOE or an average of 1,207 BOE per day during the comparable period in 2024. The decrease in our production quantities primarily relates to the divestitures of Karnes County, East Texas and Mid-con regions which occurred in second half of 2024 and the natural decline in production in remaining producing assets. During the three months ended March 31, 2025, our production was 64% oil and 36% natural gas and liquids compared to 62% oil and 38% natural gas and liquids produced during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Oil and  Natural Gas Production Costs</w:t>
      </w:r>
      <w:r>
        <w:rPr>
          <w:rFonts w:ascii="Times New Roman" w:hAnsi="Times New Roman"/>
          <w:caps w:val="false"/>
          <w:smallCaps w:val="false"/>
          <w:sz w:val="20"/>
        </w:rPr>
        <w:t>. Presented below is a comparison of our oil and natural gas production costs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tbl>
      <w:tblPr>
        <w:tblW w:w="8562" w:type="dxa"/>
        <w:jc w:val="left"/>
        <w:tblInd w:w="0" w:type="dxa"/>
        <w:tblLayout w:type="fixed"/>
        <w:tblCellMar>
          <w:top w:w="0" w:type="dxa"/>
          <w:left w:w="0" w:type="dxa"/>
          <w:bottom w:w="0" w:type="dxa"/>
          <w:right w:w="0" w:type="dxa"/>
        </w:tblCellMar>
      </w:tblPr>
      <w:tblGrid>
        <w:gridCol w:w="3995"/>
        <w:gridCol w:w="60"/>
        <w:gridCol w:w="246"/>
        <w:gridCol w:w="957"/>
        <w:gridCol w:w="118"/>
        <w:gridCol w:w="118"/>
        <w:gridCol w:w="246"/>
        <w:gridCol w:w="957"/>
        <w:gridCol w:w="60"/>
        <w:gridCol w:w="60"/>
        <w:gridCol w:w="129"/>
        <w:gridCol w:w="566"/>
        <w:gridCol w:w="80"/>
        <w:gridCol w:w="60"/>
        <w:gridCol w:w="114"/>
        <w:gridCol w:w="551"/>
        <w:gridCol w:w="24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6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1,609</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Gathering, transportation and treating</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9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Gathering, transportation and treating per BOE</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0.34</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lease operating expenses were $1.6 million or $34.23 per BOE. While lease operating expenses decreased by $1.6 million when compared to the $3.2 million or $29.02 per BOE for the three months ended March 31, 2024 the cost on a BOE basis increased as the mix of properties changed as a result of the divestment of Karnes County, East Texas, and Mid-con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gathering, transportation, and treating costs were $16 thousand, a decrease of $48 thousand, or 75%, compared to the comparable period of 2024. This decrease was attributable to the divestiture of properties that included gathering and transportation costs in the second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production taxes were $148 thousand, a decrease of $195 thousand, or 57%, compared to the comparable period of 2024. Production taxes consistently remain between 6% and 7% of revenue. This decrease in production taxes was attributable to the decrease in revenue of 59%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Depletion and Amortization. </w:t>
      </w:r>
      <w:r>
        <w:rPr>
          <w:rFonts w:ascii="Times New Roman" w:hAnsi="Times New Roman"/>
          <w:caps w:val="false"/>
          <w:smallCaps w:val="false"/>
          <w:sz w:val="20"/>
        </w:rPr>
        <w:t>Our depreciation, depletion, and amortization (“DD&amp;A”) was $1.1 million and $2.2 million for the three months ended March 31, 2025 and 2024, respectively. Depletion expense on our oil and natural gas properties is the primary driver of DD&amp;A expense.  Our depletion rate was $13.35 per BOE and $15.90 per BOE for the three months ended March 31, 2025 and 2024, respectively. Our depletion rate can fluctuate because of acquisitions, changes in drilling and completion costs, impairments, revisions in asset retirement obligation cost estimates or timing, divestitures, changes in the mix of our production, the underlying proved reserve volumes and estimated future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Impairment of oil and natural gas properties</w:t>
      </w:r>
      <w:r>
        <w:rPr>
          <w:rFonts w:ascii="Times New Roman" w:hAnsi="Times New Roman"/>
          <w:caps w:val="false"/>
          <w:smallCaps w:val="false"/>
          <w:sz w:val="20"/>
        </w:rPr>
        <w:t>.  The Company did not incur a ceiling test write down for the three months ended March 31, 2025. The Company recorded a $5.4 million ceiling test write-down of its oil and gas properties during the three months ended March 31, 2024, due to a reduction in the value of proved oil and natural gas reserves. The reduction was primarily due to lower commodity prices used in the full cost pool ceiling test, as well as reserves revisions related to wells shut-in during the first quarter of 2024 and updates to the decline curves for certain wells.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General and Administrative Expenses. </w:t>
      </w:r>
      <w:r>
        <w:rPr>
          <w:rFonts w:ascii="Times New Roman" w:hAnsi="Times New Roman"/>
          <w:caps w:val="false"/>
          <w:smallCaps w:val="false"/>
          <w:sz w:val="20"/>
        </w:rPr>
        <w:t>Presented below is a comparison of our general and administrative expenses for the three months ended March 31, 2025 and 2024:</w:t>
      </w:r>
    </w:p>
    <w:p>
      <w:pPr>
        <w:pStyle w:val="TextBody"/>
        <w:bidi w:val="0"/>
        <w:spacing w:before="0" w:after="0"/>
        <w:ind w:left="0" w:right="0" w:hanging="0"/>
        <w:jc w:val="left"/>
        <w:rPr/>
      </w:pPr>
      <w:r>
        <w:rPr/>
        <w:t> </w:t>
      </w:r>
    </w:p>
    <w:tbl>
      <w:tblPr>
        <w:tblW w:w="8007" w:type="dxa"/>
        <w:jc w:val="left"/>
        <w:tblInd w:w="0" w:type="dxa"/>
        <w:tblLayout w:type="fixed"/>
        <w:tblCellMar>
          <w:top w:w="0" w:type="dxa"/>
          <w:left w:w="0" w:type="dxa"/>
          <w:bottom w:w="0" w:type="dxa"/>
          <w:right w:w="0" w:type="dxa"/>
        </w:tblCellMar>
      </w:tblPr>
      <w:tblGrid>
        <w:gridCol w:w="3440"/>
        <w:gridCol w:w="60"/>
        <w:gridCol w:w="246"/>
        <w:gridCol w:w="957"/>
        <w:gridCol w:w="118"/>
        <w:gridCol w:w="118"/>
        <w:gridCol w:w="246"/>
        <w:gridCol w:w="957"/>
        <w:gridCol w:w="60"/>
        <w:gridCol w:w="60"/>
        <w:gridCol w:w="167"/>
        <w:gridCol w:w="528"/>
        <w:gridCol w:w="80"/>
        <w:gridCol w:w="60"/>
        <w:gridCol w:w="101"/>
        <w:gridCol w:w="564"/>
        <w:gridCol w:w="24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2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6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insurance and other</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2,389</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$0.2 million for the three months ended March 31, 2025 as compared to the prior year period. The increase was primarily attributable to an increase in both professional fees primarily attributable to divestitures, and acquisition related activities as well as incremental costs associated with a partial outsourcing of our accounting function to a third-party provider including transition costs.  Stock-based compensation was higher because of the value of the restricted stock awards being amortized for the three months ended March 31, 2025 than those being amortized during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 (Expense).</w:t>
      </w:r>
      <w:r>
        <w:rPr>
          <w:rFonts w:ascii="Times New Roman" w:hAnsi="Times New Roman"/>
          <w:caps w:val="false"/>
          <w:smallCaps w:val="false"/>
          <w:sz w:val="20"/>
        </w:rPr>
        <w:t xml:space="preserve"> Presented below is a comparison of our other income (expense)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tbl>
      <w:tblPr>
        <w:tblW w:w="7076" w:type="dxa"/>
        <w:jc w:val="left"/>
        <w:tblInd w:w="0" w:type="dxa"/>
        <w:tblLayout w:type="fixed"/>
        <w:tblCellMar>
          <w:top w:w="0" w:type="dxa"/>
          <w:left w:w="0" w:type="dxa"/>
          <w:bottom w:w="0" w:type="dxa"/>
          <w:right w:w="0" w:type="dxa"/>
        </w:tblCellMar>
      </w:tblPr>
      <w:tblGrid>
        <w:gridCol w:w="2570"/>
        <w:gridCol w:w="60"/>
        <w:gridCol w:w="269"/>
        <w:gridCol w:w="626"/>
        <w:gridCol w:w="172"/>
        <w:gridCol w:w="129"/>
        <w:gridCol w:w="269"/>
        <w:gridCol w:w="1176"/>
        <w:gridCol w:w="80"/>
        <w:gridCol w:w="60"/>
        <w:gridCol w:w="142"/>
        <w:gridCol w:w="553"/>
        <w:gridCol w:w="60"/>
        <w:gridCol w:w="60"/>
        <w:gridCol w:w="101"/>
        <w:gridCol w:w="564"/>
        <w:gridCol w:w="18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18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61"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1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172"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we did not have any open commodity derivative positions. For the three months ended March 31, 2024, we recognized losses on commodity derivative contracts of $1.4 million, primarily as the result of a decrease in the fair value of our outstanding commodity derivative contracts from settlements of open positions and higher WTI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primarily represents the interest and fees on our credit facility with FirstBank Southwest. As of December 31, 2023, we had a balance outstanding of $5.0 million on our credit facility that was repaid during the third quarter of 2024. For the three months ended March 31, 2025, there was no balance outstanding on the credit facility, but we incurred fees to maintain our credit facility.</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current commodity price environment and our current working capital, we believe we have sufficient liquidity and capital resources to execute our business plan while continuing to meet our current financial obligations. We continue to manage our commitments in order to maintain flexibility with regard to our activity level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the Company was in compliance with all financial covenants related to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2025, we anticipate our industrial gas development to cost between $3.5 and $4.5 million on drilling and completing 2 – 4 industrial gas wells, acreage extension payments as well as site and preliminary design for our anticipated industrial gas processing plant and related infrastructure. The total costs depend primarily on the number of industrial gas wells drilled and the timing of construction on an industrial gas processing plant. In addition, depending on timing, regulatory requirements and weather, we plan to incur costs for plugging and abandonment of oil and natural gas wells of up to $1.0 million. We view much of these capital activities as discretionary for which we can control both the timing and amount of the expenditures. Other activities, such as some repairs and maintenance may be required from time to time by regulatory bodies. We anticipate our expenditures will be funded primarily by cash on hand, operating cash flows, proceeds from divestitures of oil and natural gas properties, and if necessary, borrowings under our credit facility. In the event that readily available sources of cash flow are insufficient to fund our capital needs, we may utilize equity and credit markets as a funding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Sources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we funded our capital expenditures with cash on hand and proceeds from our January 2025 equity offering. In January 2025, we raised $11.9 million ($10.3 million after the Related Party Share Repurchase and related issuance costs) in an underwritten offering of 4,871,400 shares of our common stock. In future quarters, if cash flows are not sufficient to fund our capital expenditures and operations, we may raise funds through additional equity offerings or from other sources of financing. We also may re-evaluate our capital spend program as economic conditions warrant. Additionally, we may enter into carrying cost and sharing arrangements with third parties for certain development programs. All of our sources of liquidity can be affected by the changes in economic conditions, rising interest rates, changes in debt and equity markets, force majeure events, fluctuations in commodity prices, operating costs, tax law changes, and volumes produced, all of which would affect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5, 2022, we entered into a four-year credit agreement with FirstBank Southwest as administrative agent, which provides for a revolving line of credit with a borrowing base of $20 million, and a maximum credit amount of $100 million (the “Credit Agreement”). Under the Credit Agreement, revolving loans may be borrowed, repaid and re-borrowed until January 5, 2026, when all outstanding amounts must be repaid. The Credit Agreement contains customary indemnification requirements, representations and warranties and customary affirmative and negative covenants applicable to the Company and its subsidiaries. In addition, the Credit Agreement contains financial covenants, tested quarterly, that limit our ratio of total debt to EBITDAX (as defined in the Credit Agreement) to 3:1 and require our ratio of consolidated current assets to consolidated current liabilities (as each is described in the Credit Agreement) to remain at 1:1 or higher. We were in compliance with all financial covenants as of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borrowing base is subject to redetermination semi-annually, commencing on or about April 1 and October 1 of each year during the four-year term of the Credit Agreement. Our borrowing base can be adjusted as a result of changes in commodity prices, acquisitions or divestitures of proved properties, or financing activities, all as provided for in the Credit Agreement. We are currently in talks with our bank to renew and extend the Credit Agreement through 2029. We anticipate the process to be completed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flows provided by our operating activities, proceeds received from divestitures of properties, capital markets activities, and our capital expenditures, including acquisitions, all impact the amount we borrow under our revolving Credit Agreement. There were no amounts outstanding on the Credit Agreement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Uses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cash for the acquisition and development of industrial gas and oil and gas properties, workovers and capital expenditures, operating and general and administrative costs, settlements of commodity derivative contracts, debt obligations including interest, and share repurchases.  During the three months ended March 31, 2025, we spent approximately $2.1 million on the acquisition of industrial gas properties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and allocation of our future capital expenditures will depend upon a number of factors, including our cash flows from operating, investing, and financing activities, our ability to execute our development program, and the number and size of acquisitions that we complete. In addition, the impact of industrial gas and oil and natural gas prices on investment opportunities, the availability of capital, tax law changes, and the timing and results of our development activities may lead to changes in funding requirements for future development. We periodically review our capital expenditure budget to assess if changes are necessary based on current and projected cash flows, acquisition and divestiture activities, and other factors. We will continue to monitor the economic environment through the remainder of the year and adjust our activity level as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tbl>
      <w:tblPr>
        <w:tblW w:w="6192" w:type="dxa"/>
        <w:jc w:val="left"/>
        <w:tblInd w:w="0" w:type="dxa"/>
        <w:tblLayout w:type="fixed"/>
        <w:tblCellMar>
          <w:top w:w="0" w:type="dxa"/>
          <w:left w:w="0" w:type="dxa"/>
          <w:bottom w:w="0" w:type="dxa"/>
          <w:right w:w="0" w:type="dxa"/>
        </w:tblCellMar>
      </w:tblPr>
      <w:tblGrid>
        <w:gridCol w:w="2555"/>
        <w:gridCol w:w="60"/>
        <w:gridCol w:w="248"/>
        <w:gridCol w:w="1083"/>
        <w:gridCol w:w="159"/>
        <w:gridCol w:w="119"/>
        <w:gridCol w:w="248"/>
        <w:gridCol w:w="785"/>
        <w:gridCol w:w="80"/>
        <w:gridCol w:w="60"/>
        <w:gridCol w:w="125"/>
        <w:gridCol w:w="590"/>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(4,544</w:t>
            </w:r>
          </w:p>
        </w:tc>
        <w:tc>
          <w:tcPr>
            <w:tcW w:w="1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(2,422</w:t>
            </w:r>
          </w:p>
        </w:tc>
        <w:tc>
          <w:tcPr>
            <w:tcW w:w="15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9,745</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xml:space="preserve"> Cash used in operating activities of $4.5 million for the three months ended March 31, 2025 was mainly due to $3.1 million of net loss and reduction in $2.6 million of accounts payable and accrued liabilities, offset by $1.1 million of depreciation, depletion, accretion, and amortization. Cash used in operating activities of $0.6 million for the three months ended March 31, 2024, was mainly due to $9.5 million of net loss, offset by $5.4 million of impairment of oil and gas properties and $2.2 million of depreciation, depletion, accretion,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xml:space="preserve"> Cash used in investing activities for the three months ended March 31, 2025 was $2.4 million as compared to cash used in investing activities of $0.2 million for the comparable period in 2024. The primary use of cash in our investing activities for the three months ended March 31, 2025 was attributable to the Synergy acquisition noted above in </w:t>
      </w:r>
      <w:r>
        <w:rPr>
          <w:rFonts w:ascii="Times New Roman" w:hAnsi="Times New Roman"/>
          <w:i/>
          <w:caps w:val="false"/>
          <w:smallCaps w:val="false"/>
          <w:sz w:val="20"/>
        </w:rPr>
        <w:t>Material Developments. </w:t>
      </w:r>
      <w:r>
        <w:rPr>
          <w:rFonts w:ascii="Times New Roman" w:hAnsi="Times New Roman"/>
          <w:caps w:val="false"/>
          <w:smallCaps w:val="false"/>
          <w:sz w:val="20"/>
        </w:rPr>
        <w:t>For the three months ended March 31, 2024, the primary use of cash in our investing activities related to returning idle wells to production and improvements to our gathering system in East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xml:space="preserve"> Cash provided by financing activities for the three months ended March 31, 2025 was $9.7 million as compared cash used in financing activities of $0.6 million for the comparable period in 2024. As discussed in </w:t>
      </w:r>
      <w:r>
        <w:rPr>
          <w:rFonts w:ascii="Times New Roman" w:hAnsi="Times New Roman"/>
          <w:i/>
          <w:caps w:val="false"/>
          <w:smallCaps w:val="false"/>
          <w:sz w:val="20"/>
        </w:rPr>
        <w:t>Material Developments</w:t>
      </w:r>
      <w:r>
        <w:rPr>
          <w:rFonts w:ascii="Times New Roman" w:hAnsi="Times New Roman"/>
          <w:caps w:val="false"/>
          <w:smallCaps w:val="false"/>
          <w:sz w:val="20"/>
        </w:rPr>
        <w:t> above, the primary driver of finance cash inflow was our first quarter equity offering which generated net proceeds of $11.9 million offset by a share repurchases. Cash used in financing activities during the three months ended March 31, 2024 primarily related to share repurchases of $0.4 million and tax withholdings related to 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quant"/>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Item 305(e) of Regulation S-K (§ 229.305(e)), the Company is not required to provide the information required by this Item as it is a “smaller reporting company,” as defined by Rule 229.10(f)(1).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Conclusion Regarding the Effectiveness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required to maintain disclosure controls and procedures (as defined by Rules 13a-15(e) and 15d-15(e) under the Exchange Act) that are designed to ensure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our management, including our Chief Executive Officer and Chief Financial Officer, carried out an evaluation of the effectiveness of the design and operation of our disclosure controls and procedures as defined in Rules 13a-15(e) and 15d-15(e) of the Exchange Act. Based on the results of the evaluation, the Chief Executive Officer and Chief Financial Officer concluded that our disclosure controls were not effective as of March 31, 2025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Chief Executive Officer and Chief Financial Officer, as appropriate to allow timely decisions regarding required disclosures. Such determination was made due to a material weakness in our internal control over financial reporting as of December 31, 2024,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reported in our Annual Report on Form 10-K for the year ended December 31, 2024, filed with the SEC on March 13, 2025, in connection with our assessment of the effectiveness of our internal control over financial reporting at the end of our last fiscal year, management identified a material weakness in our internal control over financial reporting as of December 31, 2024.  Specifically, our accounting system was not designed appropriately, and reliance could not be placed on some of the control elements of the accounting system. These control elements include a lack of certain functionality related to system-based account reconciliations, missing systematic controls in areas such as segregation of duties enforcement and data input validation, and an absence of independent evaluation of third-party information technology controls ("ITGCs"). The Company's manual review controls partially compensate for the system design limitations, but this material weakness cannot be remediated without the implementation of a system-based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2025, we began outsourcing much of our day-to-day accounting to a third-party provider, which involves utilizing a new accounting system that we believe will remediate the historic material weakness by year end 2025. The outsourcing arrangement is subject to the Company's supervision and review and many processes such oil and natural gas reserves, income taxes, payroll, asset retirement obligations, and financial reporting among other corporate accounting functions continue to be maintained by Company accounting personnel. We anticipate assessing controls over the new accounting system as part of our year end 2025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disclosed above there were no changes in our internal control over financial reporting during the</w:t>
      </w:r>
      <w:r>
        <w:rPr>
          <w:rFonts w:ascii="Times New Roman" w:hAnsi="Times New Roman"/>
          <w:caps w:val="false"/>
          <w:smallCaps w:val="false"/>
          <w:color w:val="000000"/>
          <w:sz w:val="20"/>
        </w:rPr>
        <w:t> </w:t>
      </w:r>
      <w:r>
        <w:rPr>
          <w:rFonts w:ascii="Times New Roman" w:hAnsi="Times New Roman"/>
          <w:caps w:val="false"/>
          <w:smallCaps w:val="false"/>
          <w:sz w:val="20"/>
        </w:rPr>
        <w:t>three months ended March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4" w:name="parttwootherinfo"/>
      <w:bookmarkEnd w:id="14"/>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become party to litigation or other legal proceedings that we consider to be a part of the ordinary course of our business. We are not currently involved in any legal proceedings that we believe could reasonably be expected to have a material adverse effect on our business, prospects, financial condition or results of operations. We may become involved in material legal proceedings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from the risk factors previously disclosed in the Company’s Annual Report on Form 10-K for the year ended December 31, 2024, as filed with the SEC on March 13, 2025, under the heading “Item 1A. Risk Factors”, except as set forth below, and investors should review the risks provided in the Annual Report and below, prior to making an investment in the Company. The business, financial condition and operating results of the Company can be affected by a number of factors, whether currently known or unknown, including but not limited to those described in the Annual Report and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share repurchase activity for the respective periods:</w:t>
      </w:r>
    </w:p>
    <w:p>
      <w:pPr>
        <w:pStyle w:val="TextBody"/>
        <w:bidi w:val="0"/>
        <w:spacing w:before="0" w:after="0"/>
        <w:ind w:left="0" w:right="0" w:hanging="0"/>
        <w:jc w:val="left"/>
        <w:rPr>
          <w:caps w:val="false"/>
          <w:smallCaps w:val="false"/>
        </w:rPr>
      </w:pPr>
      <w:r>
        <w:rPr>
          <w:caps w:val="false"/>
          <w:smallCaps w:val="false"/>
        </w:rPr>
        <w:t> </w:t>
      </w:r>
    </w:p>
    <w:tbl>
      <w:tblPr>
        <w:tblW w:w="8016" w:type="dxa"/>
        <w:jc w:val="left"/>
        <w:tblInd w:w="0" w:type="dxa"/>
        <w:tblLayout w:type="fixed"/>
        <w:tblCellMar>
          <w:top w:w="0" w:type="dxa"/>
          <w:left w:w="0" w:type="dxa"/>
          <w:bottom w:w="0" w:type="dxa"/>
          <w:right w:w="0" w:type="dxa"/>
        </w:tblCellMar>
      </w:tblPr>
      <w:tblGrid>
        <w:gridCol w:w="2525"/>
        <w:gridCol w:w="60"/>
        <w:gridCol w:w="96"/>
        <w:gridCol w:w="1123"/>
        <w:gridCol w:w="60"/>
        <w:gridCol w:w="60"/>
        <w:gridCol w:w="309"/>
        <w:gridCol w:w="940"/>
        <w:gridCol w:w="60"/>
        <w:gridCol w:w="60"/>
        <w:gridCol w:w="96"/>
        <w:gridCol w:w="1123"/>
        <w:gridCol w:w="60"/>
        <w:gridCol w:w="60"/>
        <w:gridCol w:w="170"/>
        <w:gridCol w:w="1154"/>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Approximate</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 Value of</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that</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Yet Be</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the</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Paid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or</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Programs(1)</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January 1- January 31,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3,742,898</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1 - February 28, 2025</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3,653,369</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1 - March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3,596,161</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3,596,161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On January 29, 2025, the Board of Directors of the Company authorized and approved an extension of the ongoing share repurchase program for up to $5.0 million of the currently outstanding shares of the Company’s common stock originally approved by the Board of Directors on April 26, 2023 and extended on March 19, 2024, and set to expire on June 30, 2025.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 Under the stock repurchase program, shares may be repurchased from time to time in the open market or through negotiated transactions at prevailing market rates,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program does not obligate the Company to acquire a minimum amount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7" w:name="defaults"/>
      <w:bookmarkEnd w:id="17"/>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8" w:name="mine"/>
      <w:bookmarkEnd w:id="18"/>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9" w:name="otherinfo"/>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(c) 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Trading Plans.</w:t>
      </w:r>
      <w:r>
        <w:rPr>
          <w:rFonts w:ascii="Times New Roman" w:hAnsi="Times New Roman"/>
          <w:caps w:val="false"/>
          <w:smallCaps w:val="false"/>
          <w:sz w:val="20"/>
        </w:rPr>
        <w:t xml:space="preserve"> Our directors and executive officers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enter into plans or other arrangements for the purchase or sale of our shares that are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represent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under the Exchange Act. During the quarter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none of the Company’s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adopted or terminated any contract, instruction or written plan for the purchase or sale of Company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0" w:name="exhibits"/>
      <w:bookmarkEnd w:id="20"/>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5"/>
        <w:gridCol w:w="60"/>
        <w:gridCol w:w="5458"/>
        <w:gridCol w:w="60"/>
        <w:gridCol w:w="500"/>
        <w:gridCol w:w="60"/>
        <w:gridCol w:w="733"/>
        <w:gridCol w:w="60"/>
        <w:gridCol w:w="650"/>
        <w:gridCol w:w="60"/>
        <w:gridCol w:w="678"/>
        <w:gridCol w:w="60"/>
        <w:gridCol w:w="1091"/>
      </w:tblGrid>
      <w:tr>
        <w:trPr/>
        <w:tc>
          <w:tcPr>
            <w:tcW w:w="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458"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tcMar>
              <w:bottom w:w="0" w:type="dxa"/>
            </w:tcMar>
            <w:vAlign w:val="center"/>
          </w:tcPr>
          <w:p>
            <w:pPr>
              <w:pStyle w:val="TableContents"/>
              <w:bidi w:val="0"/>
              <w:spacing w:before="0" w:after="283"/>
              <w:jc w:val="left"/>
              <w:rPr/>
            </w:pPr>
            <w:r>
              <w:rPr/>
              <w:t> </w:t>
            </w:r>
          </w:p>
        </w:tc>
        <w:tc>
          <w:tcPr>
            <w:tcW w:w="73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tcMar>
              <w:bottom w:w="0" w:type="dxa"/>
            </w:tcMar>
            <w:vAlign w:val="center"/>
          </w:tcPr>
          <w:p>
            <w:pPr>
              <w:pStyle w:val="TableContents"/>
              <w:bidi w:val="0"/>
              <w:spacing w:before="0" w:after="283"/>
              <w:jc w:val="left"/>
              <w:rPr/>
            </w:pPr>
            <w:r>
              <w:rPr/>
              <w:t> </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tcMar>
              <w:bottom w:w="0" w:type="dxa"/>
            </w:tcMar>
            <w:vAlign w:val="center"/>
          </w:tcPr>
          <w:p>
            <w:pPr>
              <w:pStyle w:val="TableContents"/>
              <w:bidi w:val="0"/>
              <w:spacing w:before="0" w:after="283"/>
              <w:jc w:val="left"/>
              <w:rPr/>
            </w:pPr>
            <w:r>
              <w:rPr/>
              <w:t> </w:t>
            </w:r>
          </w:p>
        </w:tc>
        <w:tc>
          <w:tcPr>
            <w:tcW w:w="678"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tcMar>
              <w:bottom w:w="0" w:type="dxa"/>
            </w:tcMar>
            <w:vAlign w:val="center"/>
          </w:tcPr>
          <w:p>
            <w:pPr>
              <w:pStyle w:val="TableContents"/>
              <w:bidi w:val="0"/>
              <w:spacing w:before="0" w:after="283"/>
              <w:jc w:val="left"/>
              <w:rPr/>
            </w:pPr>
            <w:r>
              <w:rPr/>
              <w:t> </w:t>
            </w:r>
          </w:p>
        </w:tc>
        <w:tc>
          <w:tcPr>
            <w:tcW w:w="109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Filed / </w:t>
            </w:r>
            <w:r>
              <w:rPr>
                <w:rFonts w:ascii="Times New Roman" w:hAnsi="Times New Roman"/>
                <w:caps w:val="false"/>
                <w:smallCaps w:val="false"/>
                <w:sz w:val="20"/>
              </w:rPr>
              <w:br/>
            </w:r>
            <w:r>
              <w:rPr>
                <w:rFonts w:ascii="Times New Roman" w:hAnsi="Times New Roman"/>
                <w:b/>
                <w:caps w:val="false"/>
                <w:smallCaps w:val="false"/>
                <w:sz w:val="20"/>
              </w:rPr>
              <w:t>Furnished Herewith</w:t>
            </w:r>
          </w:p>
        </w:tc>
      </w:tr>
      <w:tr>
        <w:trPr/>
        <w:tc>
          <w:tcPr>
            <w:tcW w:w="735" w:type="dxa"/>
            <w:tcBorders/>
            <w:tcMar>
              <w:bottom w:w="0" w:type="dxa"/>
            </w:tcMar>
            <w:vAlign w:val="center"/>
          </w:tcPr>
          <w:p>
            <w:pPr>
              <w:pStyle w:val="TableContents"/>
              <w:bidi w:val="0"/>
              <w:spacing w:before="0" w:after="283"/>
              <w:jc w:val="left"/>
              <w:rPr/>
            </w:pPr>
            <w:r>
              <w:rPr/>
              <w:t>1.1</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283"/>
              <w:jc w:val="left"/>
              <w:rPr/>
            </w:pPr>
            <w:hyperlink r:id="rId3">
              <w:r>
                <w:rPr>
                  <w:rStyle w:val="InternetLink"/>
                </w:rPr>
                <w:t>Underwriting Agreement, dated January 22, 2025, by and between U.S. Energy Corp. and Roth capital Partners, LLC</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8-K</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center"/>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1.1</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center"/>
              <w:rPr/>
            </w:pPr>
            <w:r>
              <w:rPr/>
              <w:t>01/23/2025</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left"/>
              <w:rPr/>
            </w:pPr>
            <w:r>
              <w:rPr/>
              <w:t> </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283"/>
              <w:jc w:val="left"/>
              <w:rPr/>
            </w:pPr>
            <w:hyperlink r:id="rId4">
              <w:r>
                <w:rPr>
                  <w:rStyle w:val="InternetLink"/>
                </w:rPr>
                <w:t>Purchase and Sale Agreement dated January 7, 2025, by and between U.S. Energy Corp., as purchaser and Synergy Offshore LLC, as seller</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01/10/2025</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left"/>
              <w:rPr/>
            </w:pPr>
            <w:r>
              <w:rPr/>
              <w:t> </w:t>
            </w:r>
          </w:p>
        </w:tc>
      </w:tr>
      <w:tr>
        <w:trPr/>
        <w:tc>
          <w:tcPr>
            <w:tcW w:w="73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283"/>
              <w:jc w:val="left"/>
              <w:rPr/>
            </w:pPr>
            <w:hyperlink r:id="rId5">
              <w:r>
                <w:rPr>
                  <w:rStyle w:val="InternetLink"/>
                </w:rPr>
                <w:t>Share Repurchase Agreement between January 27, 2025, by and between U.S. Energy Corp., and Banner Oil &amp; Gas, LLC, Woodford Petroleum, LLC, and Sage Road Energy II, LP</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8-K</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center"/>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01/29/2025</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left"/>
              <w:rPr/>
            </w:pPr>
            <w:r>
              <w:rPr/>
              <w:t> </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pPr>
            <w:hyperlink w:anchor="ex_772603.htm">
              <w:r>
                <w:rPr>
                  <w:rStyle w:val="InternetLink"/>
                  <w:rFonts w:ascii="Times New Roman" w:hAnsi="Times New Roman"/>
                  <w:caps w:val="false"/>
                  <w:smallCaps w:val="false"/>
                  <w:sz w:val="20"/>
                </w:rPr>
                <w:t>Certification of Chief Executive Officer pursuant to Section 302 of the Sarbanes – Oxley Act of 2002</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pPr>
            <w:hyperlink w:anchor="ex_772604.htm">
              <w:r>
                <w:rPr>
                  <w:rStyle w:val="InternetLink"/>
                  <w:rFonts w:ascii="Times New Roman" w:hAnsi="Times New Roman"/>
                  <w:caps w:val="false"/>
                  <w:smallCaps w:val="false"/>
                  <w:sz w:val="20"/>
                </w:rPr>
                <w:t>Certification of Chief Financial Officer pursuant to Section 302 of the Sarbanes – Oxley Act of 2002</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pPr>
            <w:hyperlink w:anchor="ex_772605.htm">
              <w:r>
                <w:rPr>
                  <w:rStyle w:val="InternetLink"/>
                  <w:rFonts w:ascii="Times New Roman" w:hAnsi="Times New Roman"/>
                  <w:caps w:val="false"/>
                  <w:smallCaps w:val="false"/>
                  <w:sz w:val="20"/>
                </w:rPr>
                <w:t>Certification of Chief Executive Officer under Rule 13a-14(b)</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pPr>
            <w:hyperlink w:anchor="ex_772606.htm">
              <w:r>
                <w:rPr>
                  <w:rStyle w:val="InternetLink"/>
                  <w:rFonts w:ascii="Times New Roman" w:hAnsi="Times New Roman"/>
                  <w:caps w:val="false"/>
                  <w:smallCaps w:val="false"/>
                  <w:sz w:val="20"/>
                </w:rPr>
                <w:t>Certification of Chief Financial Officer under Rule 13a-14(b)</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Schema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Calculation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Definition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Label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545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for the cover page of this Quarterly Report on Form 10-Q, included in the Exhibit 101 Inline XBRL Document Set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exhibits have been omitted pursuant to Item 601(b)(5) of Regulation S-K. A copy of any omitted schedule or exhibit will be furnished supplementally to the Securities and Exchange Commission upon request; provided, however, that U.S. Energy Corp. may request confidential treatment pursuant to Rule 24b-2 of the Securities Exchange Act of 1934, as amended, for any schedule or exhibit so furnished.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sig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1640"/>
        <w:gridCol w:w="410"/>
        <w:gridCol w:w="5540"/>
      </w:tblGrid>
      <w:tr>
        <w:trPr/>
        <w:tc>
          <w:tcPr>
            <w:tcW w:w="1640"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ENERGY CORP.</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2025</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L. SMITH,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(Principal Executive Officer)</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2025</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L. ZAJAC,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29 </w:t>
      </w:r>
    </w:p>
    <w:p>
      <w:pPr>
        <w:pStyle w:val="TextBody"/>
        <w:bidi w:val="0"/>
        <w:spacing w:before="0" w:after="0"/>
        <w:ind w:left="0" w:right="0" w:hanging="0"/>
        <w:jc w:val="right"/>
        <w:rPr>
          <w:rFonts w:ascii="Times New Roman" w:hAnsi="Times New Roman"/>
          <w:b/>
          <w:caps w:val="false"/>
          <w:smallCaps w:val="false"/>
          <w:sz w:val="20"/>
        </w:rPr>
      </w:pPr>
      <w:bookmarkStart w:id="22" w:name="ex_772603.htm"/>
      <w:bookmarkStart w:id="23" w:name="ksex_772603"/>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Ryan L. Smith,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203"/>
        <w:gridCol w:w="9863"/>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U.S. Energy Corp.;</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4" w:name="led455153F2023871694109969601"/>
      <w:bookmarkEnd w:id="24"/>
      <w:r>
        <w:rPr>
          <w:rFonts w:ascii="Times New Roman" w:hAnsi="Times New Roman"/>
          <w:caps w:val="false"/>
          <w:smallCaps w:val="false"/>
          <w:sz w:val="20"/>
        </w:rPr>
        <w:t>May 12, 2025</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410"/>
        <w:gridCol w:w="246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772604.htm"/>
      <w:bookmarkStart w:id="26" w:name="ksex_772604"/>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Mark L. Zajac,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203"/>
        <w:gridCol w:w="9863"/>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U.S. Energy Corp.;</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1640"/>
        <w:gridCol w:w="410"/>
        <w:gridCol w:w="3800"/>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7" w:name="led455153F2023871694109988835"/>
            <w:bookmarkEnd w:id="27"/>
            <w:r>
              <w:rPr>
                <w:rFonts w:ascii="Times New Roman" w:hAnsi="Times New Roman"/>
                <w:caps w:val="false"/>
                <w:smallCaps w:val="false"/>
                <w:sz w:val="20"/>
              </w:rPr>
              <w:t>May 12, 2025</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L. Zajac</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r>
      <w:tr>
        <w:trPr/>
        <w:tc>
          <w:tcPr>
            <w:tcW w:w="164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772605.htm"/>
      <w:bookmarkStart w:id="29" w:name="ksex_772605"/>
      <w:bookmarkEnd w:id="28"/>
      <w:bookmarkEnd w:id="2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U.S. Energy Corp. (the “Company”) for the period ended </w:t>
      </w:r>
      <w:bookmarkStart w:id="30" w:name="led455153F2023871694110006283"/>
      <w:bookmarkEnd w:id="30"/>
      <w:r>
        <w:rPr>
          <w:rFonts w:ascii="Times New Roman" w:hAnsi="Times New Roman"/>
          <w:caps w:val="false"/>
          <w:smallCaps w:val="false"/>
          <w:sz w:val="20"/>
        </w:rPr>
        <w:t>March 31, 2025 as filed with the Securities and Exchange Commission on the date hereof (the “Report”), I Ryan L. Smith, certify, pursuant to 18 U.S.C. § 1350, as adopted pursuant to § 906 of the Sarbanes-Oxley Act of 2002, to my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31" w:name="led455153F2023871694110014021"/>
      <w:bookmarkEnd w:id="31"/>
      <w:r>
        <w:rPr>
          <w:rFonts w:ascii="Times New Roman" w:hAnsi="Times New Roman"/>
          <w:caps w:val="false"/>
          <w:smallCaps w:val="false"/>
          <w:sz w:val="20"/>
        </w:rPr>
        <w:t>May 12, 2025</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410"/>
        <w:gridCol w:w="246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2" w:name="ex_772606.htm"/>
      <w:bookmarkStart w:id="33" w:name="ksex_772606"/>
      <w:bookmarkEnd w:id="32"/>
      <w:bookmarkEnd w:id="33"/>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U.S. Energy Corp. (the “Company”) for the period ended </w:t>
      </w:r>
      <w:bookmarkStart w:id="34" w:name="led455153F2023871694110033263"/>
      <w:bookmarkEnd w:id="34"/>
      <w:r>
        <w:rPr>
          <w:rFonts w:ascii="Times New Roman" w:hAnsi="Times New Roman"/>
          <w:caps w:val="false"/>
          <w:smallCaps w:val="false"/>
          <w:sz w:val="20"/>
        </w:rPr>
        <w:t>March 31, 2025 as filed with the Securities and Exchange Commission on the date hereof (the “Report”), I Mark L. Zajac, certify, pursuant to 18 U.S.C. § 1350, as adopted pursuant to § 906 of the Sarbanes-Oxley Act of 2002, to my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35" w:name="led455153F2023871694110039473"/>
      <w:bookmarkEnd w:id="35"/>
      <w:r>
        <w:rPr>
          <w:rFonts w:ascii="Times New Roman" w:hAnsi="Times New Roman"/>
          <w:caps w:val="false"/>
          <w:smallCaps w:val="false"/>
          <w:sz w:val="20"/>
        </w:rPr>
        <w:t>May 12, 2025</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410"/>
        <w:gridCol w:w="380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L. Zajac</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1594/000143774925001631/ex_768481.htm" TargetMode="External"/><Relationship Id="rId4" Type="http://schemas.openxmlformats.org/officeDocument/2006/relationships/hyperlink" Target="http://www.sec.gov/Archives/edgar/data/101594/000143774925000795/ex_762873.htm" TargetMode="External"/><Relationship Id="rId5" Type="http://schemas.openxmlformats.org/officeDocument/2006/relationships/hyperlink" Target="http://www.sec.gov/Archives/edgar/data/101594/000143774925002073/ex_77188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17196</Words>
  <Characters>93309</Characters>
  <CharactersWithSpaces>112044</CharactersWithSpaces>
  <Paragraphs>5228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