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sz w:val="20"/>
        </w:rPr>
      </w:pPr>
      <w:bookmarkStart w:id="0" w:name="useg20260515_8ka.htm"/>
      <w:bookmarkStart w:id="1" w:name="ksuseg20260515_8ka"/>
      <w:bookmarkEnd w:id="0"/>
      <w:bookmarkEnd w:id="1"/>
      <w:r>
        <w:rPr>
          <w:rFonts w:ascii="Times New Roman;Times;serif" w:hAnsi="Times New Roman;Times;serif"/>
          <w:sz w:val="20"/>
        </w:rPr>
        <w:t>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8-K/A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U.S. ENERGY CORP.</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695"/>
        <w:gridCol w:w="2195"/>
        <w:gridCol w:w="2765"/>
      </w:tblGrid>
      <w:tr>
        <w:trPr/>
        <w:tc>
          <w:tcPr>
            <w:tcW w:w="36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1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000-06814</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83-0205516</w:t>
            </w:r>
          </w:p>
        </w:tc>
      </w:tr>
      <w:tr>
        <w:trPr/>
        <w:tc>
          <w:tcPr>
            <w:tcW w:w="369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(State or other jurisdiction of incorporation)</w:t>
            </w:r>
          </w:p>
        </w:tc>
        <w:tc>
          <w:tcPr>
            <w:tcW w:w="219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(Commission File Number)</w:t>
            </w:r>
          </w:p>
        </w:tc>
        <w:tc>
          <w:tcPr>
            <w:tcW w:w="276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350"/>
        <w:gridCol w:w="905"/>
      </w:tblGrid>
      <w:tr>
        <w:trPr/>
        <w:tc>
          <w:tcPr>
            <w:tcW w:w="3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1616 S. Voss, Suite 725,</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Houston,</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Texas</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77057</w:t>
            </w:r>
          </w:p>
        </w:tc>
      </w:tr>
      <w:tr>
        <w:trPr/>
        <w:tc>
          <w:tcPr>
            <w:tcW w:w="3350"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(Address of principal executive offices)</w:t>
            </w:r>
          </w:p>
        </w:tc>
        <w:tc>
          <w:tcPr>
            <w:tcW w:w="905" w:type="dxa"/>
            <w:tcBorders/>
            <w:tcMar>
              <w:bottom w:w="0" w:type="dxa"/>
            </w:tcM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 </w:t>
      </w:r>
      <w:r>
        <w:rPr>
          <w:rFonts w:ascii="Times New Roman" w:hAnsi="Times New Roman"/>
          <w:b/>
          <w:caps w:val="false"/>
          <w:smallCaps w:val="false"/>
          <w:sz w:val="20"/>
        </w:rPr>
        <w:t>(303)</w:t>
      </w:r>
      <w:r>
        <w:rPr>
          <w:rFonts w:ascii="Times New Roman" w:hAnsi="Times New Roman"/>
          <w:caps w:val="false"/>
          <w:smallCaps w:val="false"/>
          <w:sz w:val="20"/>
        </w:rPr>
        <w:t> </w:t>
      </w:r>
      <w:r>
        <w:rPr>
          <w:rFonts w:ascii="Times New Roman" w:hAnsi="Times New Roman"/>
          <w:b/>
          <w:caps w:val="false"/>
          <w:smallCaps w:val="false"/>
          <w:sz w:val="20"/>
        </w:rPr>
        <w:t>993-3200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7" w:type="dxa"/>
        <w:tblLayout w:type="fixed"/>
        <w:tblCellMar>
          <w:top w:w="28" w:type="dxa"/>
          <w:left w:w="28" w:type="dxa"/>
          <w:bottom w:w="28" w:type="dxa"/>
          <w:right w:w="28" w:type="dxa"/>
        </w:tblCellMar>
      </w:tblPr>
      <w:tblGrid>
        <w:gridCol w:w="2720"/>
        <w:gridCol w:w="1610"/>
        <w:gridCol w:w="4595"/>
      </w:tblGrid>
      <w:tr>
        <w:trPr/>
        <w:tc>
          <w:tcPr>
            <w:tcW w:w="27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45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exchange on which registered</w:t>
            </w:r>
          </w:p>
        </w:tc>
      </w:tr>
      <w:tr>
        <w:trPr/>
        <w:tc>
          <w:tcPr>
            <w:tcW w:w="27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$0.01 par value</w:t>
            </w:r>
          </w:p>
        </w:tc>
        <w:tc>
          <w:tcPr>
            <w:tcW w:w="16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USEG</w:t>
            </w:r>
          </w:p>
        </w:tc>
        <w:tc>
          <w:tcPr>
            <w:tcW w:w="45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NASDAQ</w:t>
            </w:r>
            <w:r>
              <w:rPr>
                <w:rFonts w:ascii="Times New Roman" w:hAnsi="Times New Roman"/>
                <w:caps w:val="false"/>
                <w:smallCaps w:val="false"/>
                <w:sz w:val="20"/>
              </w:rPr>
              <w:t> </w:t>
            </w:r>
            <w:r>
              <w:rPr>
                <w:rFonts w:ascii="Times New Roman" w:hAnsi="Times New Roman"/>
                <w:b/>
                <w:caps w:val="false"/>
                <w:smallCaps w:val="false"/>
                <w:sz w:val="20"/>
              </w:rPr>
              <w:t>Stock Market LLC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 Energy Corp.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we</w:t>
      </w:r>
      <w:r>
        <w:rPr>
          <w:rFonts w:ascii="Times New Roman" w:hAnsi="Times New Roman"/>
          <w:caps w:val="false"/>
          <w:smallCaps w:val="false"/>
          <w:sz w:val="20"/>
        </w:rPr>
        <w:t>” and “</w:t>
      </w:r>
      <w:r>
        <w:rPr>
          <w:rFonts w:ascii="Times New Roman" w:hAnsi="Times New Roman"/>
          <w:caps w:val="false"/>
          <w:smallCaps w:val="false"/>
          <w:sz w:val="20"/>
          <w:u w:val="single"/>
        </w:rPr>
        <w:t>us</w:t>
      </w:r>
      <w:r>
        <w:rPr>
          <w:rFonts w:ascii="Times New Roman" w:hAnsi="Times New Roman"/>
          <w:caps w:val="false"/>
          <w:smallCaps w:val="false"/>
          <w:sz w:val="20"/>
        </w:rPr>
        <w:t>”) filed a Current Report on Form 8</w:t>
        <w:noBreakHyphen/>
        <w:t>K with the Securities and Exchange Commission on May 8, 2026 (the “</w:t>
      </w:r>
      <w:r>
        <w:rPr>
          <w:rFonts w:ascii="Times New Roman" w:hAnsi="Times New Roman"/>
          <w:caps w:val="false"/>
          <w:smallCaps w:val="false"/>
          <w:sz w:val="20"/>
          <w:u w:val="single"/>
        </w:rPr>
        <w:t>Initial Report</w:t>
      </w:r>
      <w:r>
        <w:rPr>
          <w:rFonts w:ascii="Times New Roman" w:hAnsi="Times New Roman"/>
          <w:caps w:val="false"/>
          <w:smallCaps w:val="false"/>
          <w:sz w:val="20"/>
        </w:rPr>
        <w:t>”), which disclosed among other things, the results of the voting associated with the Company’s 2026 Annual Meeting of Stockholders (the “</w:t>
      </w:r>
      <w:r>
        <w:rPr>
          <w:rFonts w:ascii="Times New Roman" w:hAnsi="Times New Roman"/>
          <w:caps w:val="false"/>
          <w:smallCaps w:val="false"/>
          <w:sz w:val="20"/>
          <w:u w:val="single"/>
        </w:rPr>
        <w:t>Annual Meeting</w:t>
      </w:r>
      <w:r>
        <w:rPr>
          <w:rFonts w:ascii="Times New Roman" w:hAnsi="Times New Roman"/>
          <w:caps w:val="false"/>
          <w:smallCaps w:val="false"/>
          <w:sz w:val="20"/>
        </w:rPr>
        <w:t>”) and the fact that Randall Keys ceased to serve as a member of the Board of Directors on the Company on May 8, 2026. Subsequent to such filing the Company identified an error in the disclosure associated with Mr. Keys’ ceasing to serve as a member of the Board of Directors, in that instead of notifying the Company that he would not stand for re-election at the Annual Meeting, he instead was not nominated as a member of the Board of Directors by the nominating committee. The Initial Report also incorrectly stated that the size of the Board of Directors did not change following the Annual Meeting, and such number of members decreased from six to five. This Amendment No. 1 to the Initial Report is being filed solely to correct such errors.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May 8, 2026, Randall Keys ceased to serve as a member of the Board of Directors (the “Board”) of U.S. Energy Corp. (the “Company”) upon the expiration of his term at the Company’s 2026 Annual Meeting of Stockholders (the “Meeting”), after having not been renominated as a member of the Board by the nominating committee. The Board thanks Mr. Keys for his years of dedicated service and valuable contributions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size of the Board was changed to five (5) members effective upon Mr. Keys’ departure.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8, 2026, the Company held the Annual Meeting. The following four proposals were voted on at the Meeting (as described in greater detail in the Definitive Proxy Statement on Schedule 14A, filed with the Securities and Exchange Commission on April 6, 2026 (the “Proxy Statement”)), with the results of such voting as set forth below. Capitalized terms have the meanings given to such terms in the Proxy Statement and this Form 8-K should be read in connection with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director nominees listed below were duly elected to the Board of Directors by a plurality of the votes cast (there was no solicitation in opposition to management’s nominees as listed in the Proxy Statement), each to serve a term of three years and until his respective successor has been elected and qualified:</w:t>
      </w:r>
    </w:p>
    <w:p>
      <w:pPr>
        <w:pStyle w:val="TextBody"/>
        <w:bidi w:val="0"/>
        <w:spacing w:before="0" w:after="0"/>
        <w:ind w:left="0" w:right="0" w:hanging="0"/>
        <w:jc w:val="both"/>
        <w:rPr>
          <w:caps w:val="false"/>
          <w:smallCaps w:val="false"/>
        </w:rPr>
      </w:pPr>
      <w:r>
        <w:rPr>
          <w:caps w:val="false"/>
          <w:smallCaps w:val="false"/>
        </w:rPr>
        <w:t> </w:t>
      </w:r>
    </w:p>
    <w:tbl>
      <w:tblPr>
        <w:tblW w:w="5315" w:type="dxa"/>
        <w:jc w:val="left"/>
        <w:tblInd w:w="-7" w:type="dxa"/>
        <w:tblLayout w:type="fixed"/>
        <w:tblCellMar>
          <w:top w:w="28" w:type="dxa"/>
          <w:left w:w="28" w:type="dxa"/>
          <w:bottom w:w="28" w:type="dxa"/>
          <w:right w:w="28" w:type="dxa"/>
        </w:tblCellMar>
      </w:tblPr>
      <w:tblGrid>
        <w:gridCol w:w="1490"/>
        <w:gridCol w:w="950"/>
        <w:gridCol w:w="1310"/>
        <w:gridCol w:w="1565"/>
      </w:tblGrid>
      <w:tr>
        <w:trPr/>
        <w:tc>
          <w:tcPr>
            <w:tcW w:w="14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Nominee</w:t>
            </w:r>
          </w:p>
        </w:tc>
        <w:tc>
          <w:tcPr>
            <w:tcW w:w="9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For</w:t>
            </w:r>
          </w:p>
        </w:tc>
        <w:tc>
          <w:tcPr>
            <w:tcW w:w="13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Withheld</w:t>
            </w:r>
          </w:p>
        </w:tc>
        <w:tc>
          <w:tcPr>
            <w:tcW w:w="156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Broker Non-Votes</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 Weinzierl</w:t>
            </w:r>
          </w:p>
        </w:tc>
        <w:tc>
          <w:tcPr>
            <w:tcW w:w="9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10,630,629</w:t>
            </w:r>
          </w:p>
        </w:tc>
        <w:tc>
          <w:tcPr>
            <w:tcW w:w="13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156,777</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r>
        <w:trPr/>
        <w:tc>
          <w:tcPr>
            <w:tcW w:w="14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 Stephen Slack</w:t>
            </w:r>
          </w:p>
        </w:tc>
        <w:tc>
          <w:tcPr>
            <w:tcW w:w="9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10,645,512</w:t>
            </w:r>
          </w:p>
        </w:tc>
        <w:tc>
          <w:tcPr>
            <w:tcW w:w="13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141,894</w:t>
            </w:r>
          </w:p>
        </w:tc>
        <w:tc>
          <w:tcPr>
            <w:tcW w:w="156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to ratify the appointment of Weaver &amp; Tidwell, L.L.P. as the Company’s independent auditor for the fiscal year ending December 31, 2026 was approved.</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7" w:type="dxa"/>
        <w:tblLayout w:type="fixed"/>
        <w:tblCellMar>
          <w:top w:w="28" w:type="dxa"/>
          <w:left w:w="28" w:type="dxa"/>
          <w:bottom w:w="28" w:type="dxa"/>
          <w:right w:w="28" w:type="dxa"/>
        </w:tblCellMar>
      </w:tblPr>
      <w:tblGrid>
        <w:gridCol w:w="950"/>
        <w:gridCol w:w="1175"/>
        <w:gridCol w:w="995"/>
        <w:gridCol w:w="1550"/>
      </w:tblGrid>
      <w:tr>
        <w:trPr/>
        <w:tc>
          <w:tcPr>
            <w:tcW w:w="9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23,151,640</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100,116</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48,626</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relating to an advisory vote to approve named executive officer compensation was approved.</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7" w:type="dxa"/>
        <w:tblLayout w:type="fixed"/>
        <w:tblCellMar>
          <w:top w:w="28" w:type="dxa"/>
          <w:left w:w="28" w:type="dxa"/>
          <w:bottom w:w="28" w:type="dxa"/>
          <w:right w:w="28" w:type="dxa"/>
        </w:tblCellMar>
      </w:tblPr>
      <w:tblGrid>
        <w:gridCol w:w="950"/>
        <w:gridCol w:w="1175"/>
        <w:gridCol w:w="995"/>
        <w:gridCol w:w="1550"/>
      </w:tblGrid>
      <w:tr>
        <w:trPr/>
        <w:tc>
          <w:tcPr>
            <w:tcW w:w="9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10,130,670</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569,807</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86,929</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Proposal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management proposal to approve for purposes of complying with Section 5635(d) of the Listing Rules (the “</w:t>
      </w:r>
      <w:r>
        <w:rPr>
          <w:rFonts w:ascii="Times New Roman" w:hAnsi="Times New Roman"/>
          <w:caps w:val="false"/>
          <w:smallCaps w:val="false"/>
          <w:sz w:val="20"/>
          <w:u w:val="single"/>
        </w:rPr>
        <w:t>Nasdaq Listing Rules</w:t>
      </w:r>
      <w:r>
        <w:rPr>
          <w:rFonts w:ascii="Times New Roman" w:hAnsi="Times New Roman"/>
          <w:caps w:val="false"/>
          <w:smallCaps w:val="false"/>
          <w:sz w:val="20"/>
        </w:rPr>
        <w:t>”) of the Nasdaq Stock Market LLC, the issuance of shares of the Company's common stock, par value $0.01 per share ("</w:t>
      </w:r>
      <w:r>
        <w:rPr>
          <w:rFonts w:ascii="Times New Roman" w:hAnsi="Times New Roman"/>
          <w:caps w:val="false"/>
          <w:smallCaps w:val="false"/>
          <w:sz w:val="20"/>
          <w:u w:val="single"/>
        </w:rPr>
        <w:t>Common Stock</w:t>
      </w:r>
      <w:r>
        <w:rPr>
          <w:rFonts w:ascii="Times New Roman" w:hAnsi="Times New Roman"/>
          <w:caps w:val="false"/>
          <w:smallCaps w:val="false"/>
          <w:sz w:val="20"/>
        </w:rPr>
        <w:t>"), to Roth Principal Investments, LLC ("Roth Principal Investments") pursuant to the terms of that certain Common Stock Purchase Agreement, dated as of October 9, 2025 (the "</w:t>
      </w:r>
      <w:r>
        <w:rPr>
          <w:rFonts w:ascii="Times New Roman" w:hAnsi="Times New Roman"/>
          <w:caps w:val="false"/>
          <w:smallCaps w:val="false"/>
          <w:sz w:val="20"/>
          <w:u w:val="single"/>
        </w:rPr>
        <w:t>Common Stock Purchase Agreement</w:t>
      </w:r>
      <w:r>
        <w:rPr>
          <w:rFonts w:ascii="Times New Roman" w:hAnsi="Times New Roman"/>
          <w:caps w:val="false"/>
          <w:smallCaps w:val="false"/>
          <w:sz w:val="20"/>
        </w:rPr>
        <w:t>"), between the Company and Roth Principal Investments, in an amount that equals or exceeds 20% of the total shares of the Company's Common Stock outstanding immediately prior to the entry into the Common Stock Purchase Agreement (the "</w:t>
      </w:r>
      <w:r>
        <w:rPr>
          <w:rFonts w:ascii="Times New Roman" w:hAnsi="Times New Roman"/>
          <w:caps w:val="false"/>
          <w:smallCaps w:val="false"/>
          <w:sz w:val="20"/>
          <w:u w:val="single"/>
        </w:rPr>
        <w:t>Nasdaq 20% Cap Removal Proposal</w:t>
      </w:r>
      <w:r>
        <w:rPr>
          <w:rFonts w:ascii="Times New Roman" w:hAnsi="Times New Roman"/>
          <w:caps w:val="false"/>
          <w:smallCaps w:val="false"/>
          <w:sz w:val="20"/>
        </w:rPr>
        <w:t>"), was approved.</w:t>
      </w:r>
    </w:p>
    <w:p>
      <w:pPr>
        <w:pStyle w:val="TextBody"/>
        <w:bidi w:val="0"/>
        <w:spacing w:before="0" w:after="0"/>
        <w:ind w:left="0" w:right="0" w:hanging="0"/>
        <w:jc w:val="left"/>
        <w:rPr>
          <w:caps w:val="false"/>
          <w:smallCaps w:val="false"/>
        </w:rPr>
      </w:pPr>
      <w:r>
        <w:rPr>
          <w:caps w:val="false"/>
          <w:smallCaps w:val="false"/>
        </w:rPr>
        <w:t> </w:t>
      </w:r>
    </w:p>
    <w:tbl>
      <w:tblPr>
        <w:tblW w:w="4670" w:type="dxa"/>
        <w:jc w:val="left"/>
        <w:tblInd w:w="-7" w:type="dxa"/>
        <w:tblLayout w:type="fixed"/>
        <w:tblCellMar>
          <w:top w:w="28" w:type="dxa"/>
          <w:left w:w="28" w:type="dxa"/>
          <w:bottom w:w="28" w:type="dxa"/>
          <w:right w:w="28" w:type="dxa"/>
        </w:tblCellMar>
      </w:tblPr>
      <w:tblGrid>
        <w:gridCol w:w="950"/>
        <w:gridCol w:w="1175"/>
        <w:gridCol w:w="995"/>
        <w:gridCol w:w="1550"/>
      </w:tblGrid>
      <w:tr>
        <w:trPr/>
        <w:tc>
          <w:tcPr>
            <w:tcW w:w="95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For</w:t>
            </w:r>
          </w:p>
        </w:tc>
        <w:tc>
          <w:tcPr>
            <w:tcW w:w="11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9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Abstentions</w:t>
            </w:r>
          </w:p>
        </w:tc>
        <w:tc>
          <w:tcPr>
            <w:tcW w:w="155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10,207,459</w:t>
            </w:r>
          </w:p>
        </w:tc>
        <w:tc>
          <w:tcPr>
            <w:tcW w:w="11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557,104</w:t>
            </w:r>
          </w:p>
        </w:tc>
        <w:tc>
          <w:tcPr>
            <w:tcW w:w="9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22,843</w:t>
            </w:r>
          </w:p>
        </w:tc>
        <w:tc>
          <w:tcPr>
            <w:tcW w:w="155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12,512,976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60"/>
        <w:gridCol w:w="1940"/>
      </w:tblGrid>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ENERGY CORP.</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i/>
                <w:caps w:val="false"/>
                <w:smallCaps w:val="false"/>
                <w:sz w:val="20"/>
              </w:rPr>
              <w:t>/s/ Ryan Smith</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Ryan Smith</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15,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5362</Characters>
  <CharactersWithSpaces>6329</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